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b/>
          <w:color w:val="000000"/>
          <w:sz w:val="36"/>
        </w:rPr>
      </w:pPr>
      <w:bookmarkStart w:id="0" w:name="defa14a_031626.htm"/>
      <w:bookmarkStart w:id="1" w:name="ksdefa14a_031626"/>
      <w:bookmarkEnd w:id="0"/>
      <w:bookmarkEnd w:id="1"/>
      <w:r>
        <w:rPr>
          <w:b/>
          <w:color w:val="000000"/>
          <w:sz w:val="36"/>
        </w:rPr>
        <w:t>UNITED STATES</w:t>
      </w:r>
    </w:p>
    <w:p>
      <w:pPr>
        <w:pStyle w:val="TextBody"/>
        <w:bidi w:val="0"/>
        <w:jc w:val="center"/>
        <w:rPr>
          <w:b/>
          <w:color w:val="000000"/>
          <w:sz w:val="36"/>
        </w:rPr>
      </w:pPr>
      <w:r>
        <w:rPr>
          <w:b/>
          <w:color w:val="000000"/>
          <w:sz w:val="36"/>
        </w:rPr>
        <w:t>SECURITIES AND EXCHANGE COMMISSION</w:t>
      </w:r>
    </w:p>
    <w:p>
      <w:pPr>
        <w:pStyle w:val="TextBody"/>
        <w:bidi w:val="0"/>
        <w:spacing w:before="0" w:after="120"/>
        <w:jc w:val="center"/>
        <w:rPr>
          <w:b/>
          <w:color w:val="000000"/>
          <w:sz w:val="20"/>
        </w:rPr>
      </w:pPr>
      <w:r>
        <w:rPr>
          <w:b/>
          <w:color w:val="000000"/>
          <w:sz w:val="20"/>
        </w:rPr>
        <w:t>Washington, D.C. 20549</w:t>
      </w:r>
    </w:p>
    <w:p>
      <w:pPr>
        <w:pStyle w:val="TextBody"/>
        <w:bidi w:val="0"/>
        <w:spacing w:before="0" w:after="160"/>
        <w:jc w:val="center"/>
        <w:rPr>
          <w:b/>
          <w:color w:val="000000"/>
          <w:sz w:val="20"/>
        </w:rPr>
      </w:pPr>
      <w:r>
        <w:rPr>
          <w:b/>
          <w:color w:val="000000"/>
          <w:sz w:val="20"/>
        </w:rPr>
        <w:t>__________________________</w:t>
      </w:r>
    </w:p>
    <w:p>
      <w:pPr>
        <w:pStyle w:val="TextBody"/>
        <w:bidi w:val="0"/>
        <w:spacing w:before="120" w:after="120"/>
        <w:ind w:left="120" w:right="120" w:hanging="0"/>
        <w:jc w:val="center"/>
        <w:rPr>
          <w:b/>
          <w:color w:val="000000"/>
          <w:sz w:val="36"/>
        </w:rPr>
      </w:pPr>
      <w:r>
        <w:rPr>
          <w:b/>
          <w:color w:val="000000"/>
          <w:sz w:val="36"/>
        </w:rPr>
        <w:t xml:space="preserve">FORM </w:t>
      </w:r>
      <w:bookmarkStart w:id="2" w:name="xdx_907_edei--DocumentType_c20260310__20"/>
      <w:bookmarkEnd w:id="2"/>
      <w:r>
        <w:rPr>
          <w:b/>
          <w:color w:val="000000"/>
          <w:sz w:val="36"/>
        </w:rPr>
        <w:t>8-K</w:t>
      </w:r>
    </w:p>
    <w:p>
      <w:pPr>
        <w:pStyle w:val="TextBody"/>
        <w:bidi w:val="0"/>
        <w:spacing w:before="0" w:after="160"/>
        <w:jc w:val="center"/>
        <w:rPr>
          <w:b/>
          <w:color w:val="000000"/>
          <w:sz w:val="20"/>
        </w:rPr>
      </w:pPr>
      <w:r>
        <w:rPr>
          <w:b/>
          <w:color w:val="000000"/>
          <w:sz w:val="20"/>
        </w:rPr>
        <w:t>__________________________</w:t>
      </w:r>
    </w:p>
    <w:p>
      <w:pPr>
        <w:pStyle w:val="TextBody"/>
        <w:bidi w:val="0"/>
        <w:spacing w:before="240" w:after="240"/>
        <w:ind w:left="240" w:right="240" w:hanging="0"/>
        <w:jc w:val="center"/>
        <w:rPr>
          <w:b/>
          <w:color w:val="000000"/>
          <w:sz w:val="20"/>
        </w:rPr>
      </w:pPr>
      <w:r>
        <w:rPr>
          <w:b/>
          <w:color w:val="000000"/>
          <w:sz w:val="20"/>
        </w:rPr>
        <w:t>CURRENT REPORT</w:t>
      </w:r>
    </w:p>
    <w:p>
      <w:pPr>
        <w:pStyle w:val="TextBody"/>
        <w:bidi w:val="0"/>
        <w:jc w:val="center"/>
        <w:rPr>
          <w:b/>
          <w:color w:val="000000"/>
          <w:sz w:val="20"/>
        </w:rPr>
      </w:pPr>
      <w:r>
        <w:rPr>
          <w:b/>
          <w:color w:val="000000"/>
          <w:sz w:val="20"/>
        </w:rPr>
        <w:t xml:space="preserve">PURSUANT TO SECTION 13 OR 15(D) </w:t>
      </w:r>
    </w:p>
    <w:p>
      <w:pPr>
        <w:pStyle w:val="TextBody"/>
        <w:bidi w:val="0"/>
        <w:spacing w:before="0" w:after="240"/>
        <w:jc w:val="center"/>
        <w:rPr>
          <w:b/>
          <w:color w:val="000000"/>
          <w:sz w:val="20"/>
        </w:rPr>
      </w:pPr>
      <w:r>
        <w:rPr>
          <w:b/>
          <w:color w:val="000000"/>
          <w:sz w:val="20"/>
        </w:rPr>
        <w:t>OF THE SECURITIES EXCHANGE ACT OF 1934</w:t>
      </w:r>
    </w:p>
    <w:p>
      <w:pPr>
        <w:pStyle w:val="TextBody"/>
        <w:bidi w:val="0"/>
        <w:spacing w:before="200" w:after="200"/>
        <w:ind w:left="200" w:right="200" w:hanging="0"/>
        <w:jc w:val="center"/>
        <w:rPr>
          <w:b/>
          <w:color w:val="000000"/>
          <w:sz w:val="20"/>
        </w:rPr>
      </w:pPr>
      <w:r>
        <w:rPr>
          <w:b/>
          <w:color w:val="000000"/>
          <w:sz w:val="20"/>
        </w:rPr>
        <w:t xml:space="preserve">Date of Report (Date of earliest event reported): </w:t>
      </w:r>
      <w:bookmarkStart w:id="3" w:name="xdx_901_edei--DocumentPeriodEndDate_c202"/>
      <w:bookmarkEnd w:id="3"/>
      <w:r>
        <w:rPr>
          <w:b/>
          <w:color w:val="000000"/>
          <w:sz w:val="20"/>
        </w:rPr>
        <w:t>March 10, 2026</w:t>
      </w:r>
    </w:p>
    <w:p>
      <w:pPr>
        <w:pStyle w:val="TextBody"/>
        <w:bidi w:val="0"/>
        <w:jc w:val="center"/>
        <w:rPr>
          <w:color w:val="000000"/>
        </w:rPr>
      </w:pPr>
      <w:r>
        <w:rPr>
          <w:color w:val="000000"/>
        </w:rPr>
        <w:t> </w:t>
      </w:r>
    </w:p>
    <w:p>
      <w:pPr>
        <w:pStyle w:val="TextBody"/>
        <w:bidi w:val="0"/>
        <w:spacing w:before="0" w:after="120"/>
        <w:jc w:val="center"/>
        <w:rPr>
          <w:b/>
          <w:color w:val="000000"/>
          <w:sz w:val="20"/>
        </w:rPr>
      </w:pPr>
      <w:r>
        <w:rPr>
          <w:b/>
          <w:color w:val="000000"/>
          <w:sz w:val="20"/>
        </w:rPr>
        <w:t>__________________________</w:t>
      </w:r>
    </w:p>
    <w:p>
      <w:pPr>
        <w:pStyle w:val="TextBody"/>
        <w:bidi w:val="0"/>
        <w:spacing w:before="240" w:after="160"/>
        <w:ind w:left="240" w:right="240" w:hanging="0"/>
        <w:jc w:val="center"/>
        <w:rPr>
          <w:color w:val="333333"/>
          <w:sz w:val="20"/>
        </w:rPr>
      </w:pPr>
      <w:bookmarkStart w:id="4" w:name="xdx_90D_edei--EntityRegistrantName_c2026"/>
      <w:bookmarkEnd w:id="4"/>
      <w:r>
        <w:rPr>
          <w:b/>
          <w:color w:val="000000"/>
          <w:sz w:val="48"/>
        </w:rPr>
        <w:t>Sono Group N.V.</w:t>
        <w:br/>
      </w:r>
      <w:r>
        <w:rPr>
          <w:b/>
          <w:color w:val="000000"/>
          <w:sz w:val="20"/>
        </w:rPr>
        <w:t>(Exact name of registrant as specified in its charter)</w:t>
      </w:r>
    </w:p>
    <w:p>
      <w:pPr>
        <w:pStyle w:val="TextBody"/>
        <w:bidi w:val="0"/>
        <w:spacing w:before="0" w:after="120"/>
        <w:jc w:val="center"/>
        <w:rPr>
          <w:b/>
          <w:color w:val="000000"/>
          <w:sz w:val="20"/>
        </w:rPr>
      </w:pPr>
      <w:r>
        <w:rPr>
          <w:b/>
          <w:color w:val="000000"/>
          <w:sz w:val="20"/>
        </w:rPr>
        <w:t>__________________________</w:t>
      </w:r>
    </w:p>
    <w:p>
      <w:pPr>
        <w:pStyle w:val="TextBody"/>
        <w:bidi w:val="0"/>
        <w:jc w:val="center"/>
        <w:rPr>
          <w:color w:val="000000"/>
        </w:rPr>
      </w:pPr>
      <w:r>
        <w:rPr>
          <w:color w:val="000000"/>
        </w:rPr>
        <w:t> </w:t>
      </w:r>
    </w:p>
    <w:tbl>
      <w:tblPr>
        <w:tblW w:w="10080" w:type="dxa"/>
        <w:jc w:val="left"/>
        <w:tblInd w:w="0" w:type="dxa"/>
        <w:tblLayout w:type="fixed"/>
        <w:tblCellMar>
          <w:top w:w="0" w:type="dxa"/>
          <w:left w:w="0" w:type="dxa"/>
          <w:bottom w:w="0" w:type="dxa"/>
          <w:right w:w="0" w:type="dxa"/>
        </w:tblCellMar>
      </w:tblPr>
      <w:tblGrid>
        <w:gridCol w:w="4190"/>
        <w:gridCol w:w="2615"/>
        <w:gridCol w:w="3275"/>
      </w:tblGrid>
      <w:tr>
        <w:trPr/>
        <w:tc>
          <w:tcPr>
            <w:tcW w:w="4190" w:type="dxa"/>
            <w:tcBorders/>
            <w:vAlign w:val="center"/>
          </w:tcPr>
          <w:p>
            <w:pPr>
              <w:pStyle w:val="TableContents"/>
              <w:bidi w:val="0"/>
              <w:spacing w:before="0" w:after="283"/>
              <w:jc w:val="center"/>
              <w:rPr>
                <w:b/>
              </w:rPr>
            </w:pPr>
            <w:bookmarkStart w:id="5" w:name="xdx_909_edei--EntityIncorporationStateCo"/>
            <w:bookmarkEnd w:id="5"/>
            <w:r>
              <w:rPr>
                <w:b/>
              </w:rPr>
              <w:t>The Netherlands</w:t>
            </w:r>
          </w:p>
        </w:tc>
        <w:tc>
          <w:tcPr>
            <w:tcW w:w="2615" w:type="dxa"/>
            <w:tcBorders/>
            <w:vAlign w:val="center"/>
          </w:tcPr>
          <w:p>
            <w:pPr>
              <w:pStyle w:val="TableContents"/>
              <w:bidi w:val="0"/>
              <w:spacing w:before="0" w:after="283"/>
              <w:jc w:val="center"/>
              <w:rPr>
                <w:b/>
              </w:rPr>
            </w:pPr>
            <w:bookmarkStart w:id="6" w:name="xdx_90B_edei--EntityFileNumber_c20260310"/>
            <w:bookmarkEnd w:id="6"/>
            <w:r>
              <w:rPr>
                <w:b/>
              </w:rPr>
              <w:t>001-41066</w:t>
            </w:r>
          </w:p>
        </w:tc>
        <w:tc>
          <w:tcPr>
            <w:tcW w:w="3275" w:type="dxa"/>
            <w:tcBorders/>
            <w:vAlign w:val="center"/>
          </w:tcPr>
          <w:p>
            <w:pPr>
              <w:pStyle w:val="TableContents"/>
              <w:bidi w:val="0"/>
              <w:spacing w:before="0" w:after="283"/>
              <w:jc w:val="center"/>
              <w:rPr>
                <w:b/>
              </w:rPr>
            </w:pPr>
            <w:bookmarkStart w:id="7" w:name="xdx_901_edei--EntityTaxIdentificationNum"/>
            <w:bookmarkEnd w:id="7"/>
            <w:r>
              <w:rPr>
                <w:b/>
              </w:rPr>
              <w:t>98-1828632</w:t>
            </w:r>
          </w:p>
        </w:tc>
      </w:tr>
      <w:tr>
        <w:trPr/>
        <w:tc>
          <w:tcPr>
            <w:tcW w:w="4190" w:type="dxa"/>
            <w:tcBorders/>
            <w:vAlign w:val="center"/>
          </w:tcPr>
          <w:p>
            <w:pPr>
              <w:pStyle w:val="TableContents"/>
              <w:bidi w:val="0"/>
              <w:spacing w:before="0" w:after="283"/>
              <w:jc w:val="center"/>
              <w:rPr/>
            </w:pPr>
            <w:r>
              <w:rPr>
                <w:color w:val="000000"/>
              </w:rPr>
              <w:t>(State or other jurisdiction of incorporation)</w:t>
            </w:r>
            <w:r>
              <w:rPr/>
              <w:t> </w:t>
            </w:r>
          </w:p>
        </w:tc>
        <w:tc>
          <w:tcPr>
            <w:tcW w:w="2615" w:type="dxa"/>
            <w:tcBorders/>
            <w:vAlign w:val="center"/>
          </w:tcPr>
          <w:p>
            <w:pPr>
              <w:pStyle w:val="TableContents"/>
              <w:bidi w:val="0"/>
              <w:spacing w:before="0" w:after="283"/>
              <w:jc w:val="center"/>
              <w:rPr/>
            </w:pPr>
            <w:r>
              <w:rPr/>
              <w:t>(Commission File Number)</w:t>
            </w:r>
          </w:p>
        </w:tc>
        <w:tc>
          <w:tcPr>
            <w:tcW w:w="3275" w:type="dxa"/>
            <w:tcBorders/>
            <w:vAlign w:val="center"/>
          </w:tcPr>
          <w:p>
            <w:pPr>
              <w:pStyle w:val="TableContents"/>
              <w:bidi w:val="0"/>
              <w:spacing w:before="0" w:after="283"/>
              <w:jc w:val="center"/>
              <w:rPr/>
            </w:pPr>
            <w:r>
              <w:rPr/>
              <w:t>(IRS Employer Identification No.)</w:t>
            </w:r>
          </w:p>
        </w:tc>
      </w:tr>
    </w:tbl>
    <w:p>
      <w:pPr>
        <w:pStyle w:val="TextBody"/>
        <w:bidi w:val="0"/>
        <w:jc w:val="center"/>
        <w:rPr>
          <w:color w:val="000000"/>
        </w:rPr>
      </w:pPr>
      <w:r>
        <w:rPr>
          <w:color w:val="000000"/>
        </w:rPr>
        <w:t> </w:t>
      </w:r>
    </w:p>
    <w:tbl>
      <w:tblPr>
        <w:tblW w:w="5380" w:type="dxa"/>
        <w:jc w:val="left"/>
        <w:tblInd w:w="0" w:type="dxa"/>
        <w:tblLayout w:type="fixed"/>
        <w:tblCellMar>
          <w:top w:w="0" w:type="dxa"/>
          <w:left w:w="0" w:type="dxa"/>
          <w:bottom w:w="0" w:type="dxa"/>
          <w:right w:w="0" w:type="dxa"/>
        </w:tblCellMar>
      </w:tblPr>
      <w:tblGrid>
        <w:gridCol w:w="4295"/>
        <w:gridCol w:w="1085"/>
      </w:tblGrid>
      <w:tr>
        <w:trPr/>
        <w:tc>
          <w:tcPr>
            <w:tcW w:w="4295" w:type="dxa"/>
            <w:tcBorders/>
            <w:vAlign w:val="center"/>
          </w:tcPr>
          <w:p>
            <w:pPr>
              <w:pStyle w:val="TableContents"/>
              <w:bidi w:val="0"/>
              <w:spacing w:before="0" w:after="283"/>
              <w:jc w:val="center"/>
              <w:rPr>
                <w:b/>
                <w:color w:val="000000"/>
              </w:rPr>
            </w:pPr>
            <w:bookmarkStart w:id="8" w:name="xdx_90B_edei--EntityAddressAddressLine1_"/>
            <w:bookmarkEnd w:id="8"/>
            <w:r>
              <w:rPr>
                <w:b/>
                <w:color w:val="000000"/>
              </w:rPr>
              <w:t xml:space="preserve">Waldmeisterstrasse 93, </w:t>
            </w:r>
            <w:bookmarkStart w:id="9" w:name="xdx_902_edei--EntityAddressCityOrTown_c2"/>
            <w:bookmarkEnd w:id="9"/>
            <w:r>
              <w:rPr>
                <w:b/>
                <w:color w:val="000000"/>
              </w:rPr>
              <w:t xml:space="preserve">Munich, </w:t>
            </w:r>
            <w:bookmarkStart w:id="10" w:name="xdx_900_edei--EntityAddressCountry_c2026"/>
            <w:bookmarkEnd w:id="10"/>
            <w:r>
              <w:rPr>
                <w:b/>
                <w:color w:val="000000"/>
              </w:rPr>
              <w:t>Germany</w:t>
            </w:r>
          </w:p>
        </w:tc>
        <w:tc>
          <w:tcPr>
            <w:tcW w:w="1085" w:type="dxa"/>
            <w:tcBorders/>
            <w:vAlign w:val="center"/>
          </w:tcPr>
          <w:p>
            <w:pPr>
              <w:pStyle w:val="TableContents"/>
              <w:bidi w:val="0"/>
              <w:spacing w:before="0" w:after="283"/>
              <w:jc w:val="center"/>
              <w:rPr>
                <w:b/>
              </w:rPr>
            </w:pPr>
            <w:bookmarkStart w:id="11" w:name="xdx_909_edei--EntityAddressPostalZipCode"/>
            <w:bookmarkEnd w:id="11"/>
            <w:r>
              <w:rPr>
                <w:b/>
              </w:rPr>
              <w:t>80935</w:t>
            </w:r>
          </w:p>
        </w:tc>
      </w:tr>
      <w:tr>
        <w:trPr/>
        <w:tc>
          <w:tcPr>
            <w:tcW w:w="4295" w:type="dxa"/>
            <w:tcBorders/>
            <w:vAlign w:val="center"/>
          </w:tcPr>
          <w:p>
            <w:pPr>
              <w:pStyle w:val="TableContents"/>
              <w:bidi w:val="0"/>
              <w:spacing w:before="0" w:after="283"/>
              <w:jc w:val="center"/>
              <w:rPr/>
            </w:pPr>
            <w:r>
              <w:rPr/>
              <w:t>(Address of principal executive offices)</w:t>
            </w:r>
          </w:p>
        </w:tc>
        <w:tc>
          <w:tcPr>
            <w:tcW w:w="1085" w:type="dxa"/>
            <w:tcBorders/>
            <w:vAlign w:val="center"/>
          </w:tcPr>
          <w:p>
            <w:pPr>
              <w:pStyle w:val="TableContents"/>
              <w:bidi w:val="0"/>
              <w:spacing w:before="0" w:after="283"/>
              <w:jc w:val="center"/>
              <w:rPr/>
            </w:pPr>
            <w:r>
              <w:rPr/>
              <w:t>(Zip Code)</w:t>
            </w:r>
          </w:p>
        </w:tc>
      </w:tr>
    </w:tbl>
    <w:tbl>
      <w:tblPr>
        <w:tblW w:w="99" w:type="dxa"/>
        <w:jc w:val="left"/>
        <w:tblInd w:w="-10" w:type="dxa"/>
        <w:tblLayout w:type="fixed"/>
        <w:tblCellMar>
          <w:top w:w="100" w:type="dxa"/>
          <w:left w:w="100" w:type="dxa"/>
          <w:bottom w:w="100" w:type="dxa"/>
          <w:right w:w="100" w:type="dxa"/>
        </w:tblCellMar>
      </w:tblPr>
      <w:tblGrid>
        <w:gridCol w:w="38"/>
        <w:gridCol w:w="23"/>
        <w:gridCol w:w="38"/>
      </w:tblGrid>
      <w:tr>
        <w:trPr/>
        <w:tc>
          <w:tcPr>
            <w:tcW w:w="38" w:type="dxa"/>
            <w:tcBorders>
              <w:top w:val="single" w:sz="8" w:space="0" w:color="FFFFFF"/>
              <w:left w:val="single" w:sz="8" w:space="0" w:color="FFFFFF"/>
              <w:bottom w:val="single" w:sz="8" w:space="0" w:color="FFFFFF"/>
              <w:right w:val="single" w:sz="8" w:space="0" w:color="FFFFFF"/>
            </w:tcBorders>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FFFFFF"/>
              <w:right w:val="single" w:sz="8" w:space="0" w:color="FFFFFF"/>
            </w:tcBorders>
            <w:tcMar>
              <w:left w:w="0" w:type="dxa"/>
            </w:tcMar>
            <w:vAlign w:val="center"/>
          </w:tcPr>
          <w:p>
            <w:pPr>
              <w:pStyle w:val="TableContents"/>
              <w:bidi w:val="0"/>
              <w:spacing w:before="0" w:after="283"/>
              <w:jc w:val="left"/>
              <w:rPr>
                <w:sz w:val="4"/>
                <w:szCs w:val="4"/>
              </w:rPr>
            </w:pPr>
            <w:r>
              <w:rPr>
                <w:sz w:val="4"/>
                <w:szCs w:val="4"/>
              </w:rPr>
            </w:r>
          </w:p>
        </w:tc>
        <w:tc>
          <w:tcPr>
            <w:tcW w:w="38" w:type="dxa"/>
            <w:tcBorders>
              <w:top w:val="single" w:sz="8" w:space="0" w:color="FFFFFF"/>
              <w:bottom w:val="single" w:sz="8" w:space="0" w:color="FFFFFF"/>
              <w:right w:val="single" w:sz="8" w:space="0" w:color="FFFFFF"/>
            </w:tcBorders>
            <w:tcMar>
              <w:left w:w="0" w:type="dxa"/>
            </w:tcMar>
            <w:vAlign w:val="center"/>
          </w:tcPr>
          <w:p>
            <w:pPr>
              <w:pStyle w:val="TableContents"/>
              <w:bidi w:val="0"/>
              <w:spacing w:before="0" w:after="283"/>
              <w:jc w:val="left"/>
              <w:rPr>
                <w:sz w:val="4"/>
                <w:szCs w:val="4"/>
              </w:rPr>
            </w:pPr>
            <w:r>
              <w:rPr>
                <w:sz w:val="4"/>
                <w:szCs w:val="4"/>
              </w:rPr>
            </w:r>
          </w:p>
        </w:tc>
      </w:tr>
    </w:tbl>
    <w:tbl>
      <w:tblPr>
        <w:tblW w:w="76" w:type="dxa"/>
        <w:jc w:val="left"/>
        <w:tblInd w:w="-10" w:type="dxa"/>
        <w:tblLayout w:type="fixed"/>
        <w:tblCellMar>
          <w:top w:w="100" w:type="dxa"/>
          <w:left w:w="100" w:type="dxa"/>
          <w:bottom w:w="100" w:type="dxa"/>
          <w:right w:w="100" w:type="dxa"/>
        </w:tblCellMar>
      </w:tblPr>
      <w:tblGrid>
        <w:gridCol w:w="38"/>
        <w:gridCol w:w="38"/>
      </w:tblGrid>
      <w:tr>
        <w:trPr/>
        <w:tc>
          <w:tcPr>
            <w:tcW w:w="38" w:type="dxa"/>
            <w:tcBorders>
              <w:top w:val="single" w:sz="8" w:space="0" w:color="FFFFFF"/>
              <w:left w:val="single" w:sz="8" w:space="0" w:color="FFFFFF"/>
              <w:bottom w:val="single" w:sz="8" w:space="0" w:color="FFFFFF"/>
              <w:right w:val="single" w:sz="8" w:space="0" w:color="FFFFFF"/>
            </w:tcBorders>
            <w:vAlign w:val="center"/>
          </w:tcPr>
          <w:p>
            <w:pPr>
              <w:pStyle w:val="TableContents"/>
              <w:bidi w:val="0"/>
              <w:spacing w:before="0" w:after="283"/>
              <w:ind w:left="540" w:right="0" w:hanging="0"/>
              <w:jc w:val="left"/>
              <w:rPr>
                <w:sz w:val="4"/>
                <w:szCs w:val="4"/>
              </w:rPr>
            </w:pPr>
            <w:r>
              <w:rPr>
                <w:sz w:val="4"/>
                <w:szCs w:val="4"/>
              </w:rPr>
            </w:r>
          </w:p>
        </w:tc>
        <w:tc>
          <w:tcPr>
            <w:tcW w:w="38" w:type="dxa"/>
            <w:tcBorders>
              <w:top w:val="single" w:sz="8" w:space="0" w:color="FFFFFF"/>
              <w:bottom w:val="single" w:sz="8" w:space="0" w:color="FFFFFF"/>
              <w:right w:val="single" w:sz="8" w:space="0" w:color="FFFFFF"/>
            </w:tcBorders>
            <w:tcMar>
              <w:left w:w="0" w:type="dxa"/>
            </w:tcMar>
            <w:vAlign w:val="center"/>
          </w:tcPr>
          <w:p>
            <w:pPr>
              <w:pStyle w:val="TableContents"/>
              <w:bidi w:val="0"/>
              <w:spacing w:before="0" w:after="283"/>
              <w:ind w:left="90" w:right="0" w:hanging="0"/>
              <w:jc w:val="left"/>
              <w:rPr>
                <w:sz w:val="4"/>
                <w:szCs w:val="4"/>
              </w:rPr>
            </w:pPr>
            <w:r>
              <w:rPr>
                <w:sz w:val="4"/>
                <w:szCs w:val="4"/>
              </w:rPr>
            </w:r>
          </w:p>
        </w:tc>
      </w:tr>
    </w:tbl>
    <w:p>
      <w:pPr>
        <w:pStyle w:val="TextBody"/>
        <w:bidi w:val="0"/>
        <w:spacing w:before="120" w:after="120"/>
        <w:ind w:left="120" w:right="120" w:hanging="0"/>
        <w:jc w:val="center"/>
        <w:rPr>
          <w:b/>
          <w:color w:val="000000"/>
          <w:sz w:val="20"/>
        </w:rPr>
      </w:pPr>
      <w:bookmarkStart w:id="12" w:name="xdx_906_edei--CountryRegion_c20260310__2"/>
      <w:bookmarkEnd w:id="12"/>
      <w:r>
        <w:rPr>
          <w:b/>
          <w:color w:val="000000"/>
          <w:sz w:val="20"/>
        </w:rPr>
        <w:t xml:space="preserve">+49 </w:t>
      </w:r>
      <w:bookmarkStart w:id="13" w:name="xdx_909_edei--CityAreaCode_c20260310__20"/>
      <w:bookmarkEnd w:id="13"/>
      <w:r>
        <w:rPr>
          <w:b/>
          <w:color w:val="000000"/>
          <w:sz w:val="20"/>
        </w:rPr>
        <w:t xml:space="preserve">(0)89 </w:t>
      </w:r>
      <w:bookmarkStart w:id="14" w:name="xdx_902_edei--LocalPhoneNumber_c20260310"/>
      <w:bookmarkEnd w:id="14"/>
      <w:r>
        <w:rPr>
          <w:b/>
          <w:color w:val="000000"/>
          <w:sz w:val="20"/>
        </w:rPr>
        <w:t>4520 5818</w:t>
      </w:r>
    </w:p>
    <w:p>
      <w:pPr>
        <w:pStyle w:val="TextBody"/>
        <w:bidi w:val="0"/>
        <w:jc w:val="center"/>
        <w:rPr>
          <w:color w:val="000000"/>
          <w:sz w:val="20"/>
        </w:rPr>
      </w:pPr>
      <w:r>
        <w:rPr>
          <w:color w:val="000000"/>
          <w:sz w:val="20"/>
        </w:rPr>
        <w:t>(Registrant's telephone number, including area code)</w:t>
      </w:r>
    </w:p>
    <w:p>
      <w:pPr>
        <w:pStyle w:val="TextBody"/>
        <w:shd w:fill="FFFFFF" w:val="clear"/>
        <w:bidi w:val="0"/>
        <w:spacing w:before="0" w:after="160"/>
        <w:jc w:val="center"/>
        <w:rPr>
          <w:b/>
          <w:color w:val="000000"/>
          <w:sz w:val="20"/>
        </w:rPr>
      </w:pPr>
      <w:r>
        <w:rPr>
          <w:b/>
          <w:color w:val="000000"/>
          <w:sz w:val="20"/>
        </w:rPr>
        <w:t>__________________________</w:t>
      </w:r>
    </w:p>
    <w:p>
      <w:pPr>
        <w:pStyle w:val="TextBody"/>
        <w:bidi w:val="0"/>
        <w:spacing w:before="0" w:after="160"/>
        <w:jc w:val="left"/>
        <w:rPr>
          <w:color w:val="000000"/>
          <w:sz w:val="20"/>
        </w:rPr>
      </w:pPr>
      <w:r>
        <w:rPr>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120"/>
        <w:jc w:val="left"/>
        <w:rPr>
          <w:color w:val="000000"/>
        </w:rPr>
      </w:pPr>
      <w:bookmarkStart w:id="15" w:name="xdx_904_edei--WrittenCommunications_c202"/>
      <w:bookmarkEnd w:id="15"/>
      <w:r>
        <w:rPr>
          <w:color w:val="000000"/>
        </w:rPr>
        <w:t>☐</w:t>
      </w:r>
      <w:r>
        <w:rPr>
          <w:color w:val="000000"/>
          <w:sz w:val="20"/>
        </w:rPr>
        <w:tab/>
        <w:t>Written communications pursuant to Rule 425 under the Securities Act (17 CFR 230.425)</w:t>
      </w:r>
    </w:p>
    <w:p>
      <w:pPr>
        <w:pStyle w:val="TextBody"/>
        <w:bidi w:val="0"/>
        <w:spacing w:before="0" w:after="120"/>
        <w:jc w:val="left"/>
        <w:rPr>
          <w:color w:val="000000"/>
        </w:rPr>
      </w:pPr>
      <w:bookmarkStart w:id="16" w:name="xdx_90C_edei--SolicitingMaterial_c202603"/>
      <w:bookmarkEnd w:id="16"/>
      <w:r>
        <w:rPr>
          <w:color w:val="000000"/>
        </w:rPr>
        <w:t>☒</w:t>
      </w:r>
      <w:r>
        <w:rPr>
          <w:color w:val="000000"/>
          <w:sz w:val="20"/>
        </w:rPr>
        <w:tab/>
        <w:t>Soliciting material pursuant to Rule 14a-12 under the Exchange Act (17 CFR 240.14a-12)</w:t>
      </w:r>
    </w:p>
    <w:p>
      <w:pPr>
        <w:pStyle w:val="TextBody"/>
        <w:bidi w:val="0"/>
        <w:spacing w:before="0" w:after="120"/>
        <w:jc w:val="left"/>
        <w:rPr>
          <w:color w:val="000000"/>
        </w:rPr>
      </w:pPr>
      <w:bookmarkStart w:id="17" w:name="xdx_90E_edei--PreCommencementTenderOffer"/>
      <w:bookmarkEnd w:id="17"/>
      <w:r>
        <w:rPr>
          <w:color w:val="000000"/>
        </w:rPr>
        <w:t xml:space="preserve">☐ </w:t>
      </w:r>
      <w:r>
        <w:rPr>
          <w:color w:val="000000"/>
          <w:sz w:val="20"/>
        </w:rPr>
        <w:tab/>
        <w:t>Pre-commencement communications pursuant to Rule 14d-2(b) under the Exchange Act (17 CFR 240.14d-2(b))</w:t>
      </w:r>
    </w:p>
    <w:p>
      <w:pPr>
        <w:pStyle w:val="TextBody"/>
        <w:bidi w:val="0"/>
        <w:spacing w:before="0" w:after="120"/>
        <w:jc w:val="left"/>
        <w:rPr>
          <w:color w:val="000000"/>
        </w:rPr>
      </w:pPr>
      <w:bookmarkStart w:id="18" w:name="xdx_905_edei--PreCommencementIssuerTende"/>
      <w:bookmarkEnd w:id="18"/>
      <w:r>
        <w:rPr>
          <w:color w:val="000000"/>
        </w:rPr>
        <w:t>☐</w:t>
      </w:r>
      <w:r>
        <w:rPr>
          <w:color w:val="000000"/>
          <w:sz w:val="20"/>
        </w:rPr>
        <w:tab/>
        <w:t>Pre-commencement communications pursuant to Rule 13e-4(c) under the Exchange Act (17 CFR 240.13e-4(c))</w:t>
      </w:r>
    </w:p>
    <w:p>
      <w:pPr>
        <w:pStyle w:val="TextBody"/>
        <w:bidi w:val="0"/>
        <w:jc w:val="left"/>
        <w:rPr>
          <w:color w:val="000000"/>
        </w:rPr>
      </w:pPr>
      <w:r>
        <w:rPr>
          <w:color w:val="000000"/>
        </w:rPr>
        <w:t> </w:t>
      </w:r>
    </w:p>
    <w:p>
      <w:pPr>
        <w:pStyle w:val="TextBody"/>
        <w:bidi w:val="0"/>
        <w:jc w:val="left"/>
        <w:rPr>
          <w:color w:val="000000"/>
          <w:sz w:val="20"/>
        </w:rPr>
      </w:pPr>
      <w:r>
        <w:rPr>
          <w:color w:val="000000"/>
          <w:sz w:val="20"/>
        </w:rPr>
        <w:t>Securities registered pursuant to Section 12(b) of the Act:</w:t>
      </w:r>
    </w:p>
    <w:p>
      <w:pPr>
        <w:pStyle w:val="TextBody"/>
        <w:bidi w:val="0"/>
        <w:jc w:val="left"/>
        <w:rPr>
          <w:color w:val="000000"/>
        </w:rPr>
      </w:pPr>
      <w:r>
        <w:rPr>
          <w:color w:val="000000"/>
        </w:rPr>
        <w:t> </w:t>
      </w:r>
    </w:p>
    <w:tbl>
      <w:tblPr>
        <w:tblW w:w="6615" w:type="dxa"/>
        <w:jc w:val="left"/>
        <w:tblInd w:w="-10" w:type="dxa"/>
        <w:tblLayout w:type="fixed"/>
        <w:tblCellMar>
          <w:top w:w="100" w:type="dxa"/>
          <w:left w:w="28" w:type="dxa"/>
          <w:bottom w:w="28" w:type="dxa"/>
          <w:right w:w="28" w:type="dxa"/>
        </w:tblCellMar>
      </w:tblPr>
      <w:tblGrid>
        <w:gridCol w:w="1490"/>
        <w:gridCol w:w="1535"/>
        <w:gridCol w:w="3590"/>
      </w:tblGrid>
      <w:tr>
        <w:trPr/>
        <w:tc>
          <w:tcPr>
            <w:tcW w:w="14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color w:val="000000"/>
                <w:sz w:val="20"/>
              </w:rPr>
            </w:pPr>
            <w:r>
              <w:rPr>
                <w:color w:val="000000"/>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color w:val="000000"/>
                <w:sz w:val="20"/>
              </w:rPr>
            </w:pPr>
            <w:r>
              <w:rPr>
                <w:color w:val="000000"/>
                <w:sz w:val="20"/>
              </w:rPr>
              <w:t>Trading Symbol(s)</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color w:val="000000"/>
                <w:sz w:val="20"/>
              </w:rPr>
            </w:pPr>
            <w:r>
              <w:rPr>
                <w:color w:val="000000"/>
                <w:sz w:val="20"/>
              </w:rPr>
              <w:t>Name of each exchange on which registered</w:t>
            </w:r>
          </w:p>
        </w:tc>
      </w:tr>
      <w:tr>
        <w:trPr/>
        <w:tc>
          <w:tcPr>
            <w:tcW w:w="14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olor w:val="000000"/>
                <w:sz w:val="20"/>
              </w:rPr>
            </w:pPr>
            <w:bookmarkStart w:id="19" w:name="xdx_90E_edei--Security12bTitle_c20260310"/>
            <w:bookmarkEnd w:id="19"/>
            <w:r>
              <w:rPr>
                <w:color w:val="000000"/>
                <w:sz w:val="20"/>
              </w:rPr>
              <w:t>Ordinary shares</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000000"/>
                <w:sz w:val="20"/>
              </w:rPr>
            </w:pPr>
            <w:bookmarkStart w:id="20" w:name="xdx_905_edei--TradingSymbol_c20260310__2"/>
            <w:bookmarkEnd w:id="20"/>
            <w:r>
              <w:rPr>
                <w:color w:val="000000"/>
                <w:sz w:val="20"/>
              </w:rPr>
              <w:t>SSM</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000000"/>
                <w:sz w:val="20"/>
              </w:rPr>
            </w:pPr>
            <w:bookmarkStart w:id="21" w:name="xdx_90E_edei--SecurityExchangeName_c2026"/>
            <w:bookmarkEnd w:id="21"/>
            <w:r>
              <w:rPr>
                <w:color w:val="000000"/>
                <w:sz w:val="20"/>
              </w:rPr>
              <w:t>The Nasdaq Stock Market LLC</w:t>
            </w:r>
          </w:p>
        </w:tc>
      </w:tr>
    </w:tbl>
    <w:p>
      <w:pPr>
        <w:pStyle w:val="TextBody"/>
        <w:bidi w:val="0"/>
        <w:jc w:val="left"/>
        <w:rPr>
          <w:color w:val="000000"/>
        </w:rPr>
      </w:pPr>
      <w:r>
        <w:rPr>
          <w:color w:val="000000"/>
        </w:rPr>
        <w:t> </w:t>
      </w:r>
    </w:p>
    <w:p>
      <w:pPr>
        <w:pStyle w:val="TextBody"/>
        <w:bidi w:val="0"/>
        <w:spacing w:before="0" w:after="160"/>
        <w:jc w:val="left"/>
        <w:rPr>
          <w:color w:val="000000"/>
          <w:sz w:val="20"/>
        </w:rPr>
      </w:pPr>
      <w:r>
        <w:rPr>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60"/>
        <w:jc w:val="right"/>
        <w:rPr>
          <w:color w:val="000000"/>
          <w:sz w:val="20"/>
        </w:rPr>
      </w:pPr>
      <w:r>
        <w:rPr>
          <w:color w:val="000000"/>
          <w:sz w:val="20"/>
        </w:rPr>
        <w:t xml:space="preserve">Emerging growth company </w:t>
      </w:r>
      <w:bookmarkStart w:id="22" w:name="xdx_903_edei--EntityEmergingGrowthCompan"/>
      <w:bookmarkEnd w:id="22"/>
      <w:r>
        <w:rPr>
          <w:color w:val="000000"/>
          <w:sz w:val="20"/>
        </w:rPr>
        <w:t>☒</w:t>
      </w:r>
    </w:p>
    <w:p>
      <w:pPr>
        <w:pStyle w:val="TextBody"/>
        <w:bidi w:val="0"/>
        <w:jc w:val="left"/>
        <w:rPr>
          <w:color w:val="000000"/>
          <w:sz w:val="20"/>
        </w:rPr>
      </w:pPr>
      <w:r>
        <w:rPr>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tab/>
      </w:r>
      <w:bookmarkStart w:id="23" w:name="xdx_905_edei--EntityExTransitionPeriod_c"/>
      <w:bookmarkEnd w:id="23"/>
      <w:r>
        <w:rPr>
          <w:color w:val="000000"/>
          <w:sz w:val="20"/>
        </w:rPr>
        <w:t>☐</w:t>
      </w:r>
    </w:p>
    <w:p>
      <w:pPr>
        <w:pStyle w:val="TextBody"/>
        <w:bidi w:val="0"/>
        <w:jc w:val="left"/>
        <w:rPr>
          <w:color w:val="000000"/>
        </w:rPr>
      </w:pPr>
      <w:r>
        <w:rPr>
          <w:color w:val="000000"/>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5478" w:type="dxa"/>
        <w:jc w:val="left"/>
        <w:tblInd w:w="0" w:type="dxa"/>
        <w:tblLayout w:type="fixed"/>
        <w:tblCellMar>
          <w:top w:w="0" w:type="dxa"/>
          <w:left w:w="0" w:type="dxa"/>
          <w:bottom w:w="0" w:type="dxa"/>
          <w:right w:w="0" w:type="dxa"/>
        </w:tblCellMar>
      </w:tblPr>
      <w:tblGrid>
        <w:gridCol w:w="38"/>
        <w:gridCol w:w="96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color w:val="000000"/>
              </w:rPr>
            </w:pPr>
            <w:r>
              <w:rPr>
                <w:b/>
                <w:color w:val="000000"/>
              </w:rPr>
              <w:t>Item 1.01</w:t>
            </w:r>
          </w:p>
        </w:tc>
        <w:tc>
          <w:tcPr>
            <w:tcW w:w="4475" w:type="dxa"/>
            <w:tcBorders/>
            <w:vAlign w:val="center"/>
          </w:tcPr>
          <w:p>
            <w:pPr>
              <w:pStyle w:val="TableContents"/>
              <w:bidi w:val="0"/>
              <w:spacing w:before="0" w:after="283"/>
              <w:jc w:val="left"/>
              <w:rPr>
                <w:b/>
                <w:color w:val="000000"/>
              </w:rPr>
            </w:pPr>
            <w:r>
              <w:rPr>
                <w:b/>
                <w:color w:val="000000"/>
              </w:rPr>
              <w:t>Entry into a Material Definitive Agreement.</w:t>
            </w:r>
          </w:p>
        </w:tc>
      </w:tr>
    </w:tbl>
    <w:p>
      <w:pPr>
        <w:pStyle w:val="TextBody"/>
        <w:bidi w:val="0"/>
        <w:jc w:val="left"/>
        <w:rPr>
          <w:color w:val="000000"/>
        </w:rPr>
      </w:pPr>
      <w:r>
        <w:rPr>
          <w:color w:val="000000"/>
        </w:rPr>
        <w:t> </w:t>
      </w:r>
    </w:p>
    <w:p>
      <w:pPr>
        <w:pStyle w:val="TextBody"/>
        <w:bidi w:val="0"/>
        <w:jc w:val="left"/>
        <w:rPr>
          <w:b/>
          <w:i/>
          <w:color w:val="000000"/>
          <w:sz w:val="20"/>
        </w:rPr>
      </w:pPr>
      <w:r>
        <w:rPr>
          <w:b/>
          <w:i/>
          <w:color w:val="000000"/>
          <w:sz w:val="20"/>
        </w:rPr>
        <w:t>ISDA Master Agreement and Credit Agreement</w:t>
      </w:r>
    </w:p>
    <w:p>
      <w:pPr>
        <w:pStyle w:val="TextBody"/>
        <w:bidi w:val="0"/>
        <w:jc w:val="both"/>
        <w:rPr>
          <w:color w:val="000000"/>
        </w:rPr>
      </w:pPr>
      <w:r>
        <w:rPr>
          <w:color w:val="000000"/>
        </w:rPr>
        <w:t> </w:t>
      </w:r>
    </w:p>
    <w:p>
      <w:pPr>
        <w:pStyle w:val="TextBody"/>
        <w:bidi w:val="0"/>
        <w:jc w:val="both"/>
        <w:rPr>
          <w:color w:val="000000"/>
          <w:sz w:val="20"/>
        </w:rPr>
      </w:pPr>
      <w:r>
        <w:rPr>
          <w:color w:val="000000"/>
          <w:sz w:val="20"/>
        </w:rPr>
        <w:t>In connection with the Treasury Strategy (as defined below in Item 8.01 of this Current Report on Form 8-K (this “Current Report”)), on March 10, 2026, Sono Group N.V. (the “Company”) entered into an International Swaps and Derivatives Association, Inc. (“ISDA”) 2002 ISDA Master Agreement, dated as of March 10, 2026 (the “ISDA Master Agreement”) with Blockchain.com (BVI) II Limited, a business company incorporated under the laws of the British Virgin Islands (“Blockchain.com”), facilitating the Company to enter into derivative and/or hedging transactions (collectively, the “Transactions”) to manage the risk associated with the Treasury Strategy. The derivative and hedging transactions will be governed by the ISDA Master Agreement, including the related Schedule to the ISDA Master Agreement executed by the Company and Blockchain.com on March 10, 2026 (the “Schedule”). The structure of the Transactions may include forwards, swaps, futures, options or other derivatives transactions in respect of digital assets.</w:t>
      </w:r>
    </w:p>
    <w:p>
      <w:pPr>
        <w:pStyle w:val="TextBody"/>
        <w:bidi w:val="0"/>
        <w:jc w:val="both"/>
        <w:rPr>
          <w:color w:val="000000"/>
        </w:rPr>
      </w:pPr>
      <w:r>
        <w:rPr>
          <w:color w:val="000000"/>
        </w:rPr>
        <w:t> </w:t>
      </w:r>
    </w:p>
    <w:p>
      <w:pPr>
        <w:pStyle w:val="TextBody"/>
        <w:bidi w:val="0"/>
        <w:jc w:val="both"/>
        <w:rPr>
          <w:color w:val="000000"/>
          <w:sz w:val="20"/>
        </w:rPr>
      </w:pPr>
      <w:r>
        <w:rPr>
          <w:color w:val="000000"/>
          <w:sz w:val="20"/>
        </w:rPr>
        <w:t>Certain events of default will apply to the Transactions under the ISDA Master Agreement and Schedule, including, but not limited to, failure to pay or deliver, breach of the agreement, credit support default, cross-defaults and misrepresentation.</w:t>
      </w:r>
    </w:p>
    <w:p>
      <w:pPr>
        <w:pStyle w:val="TextBody"/>
        <w:bidi w:val="0"/>
        <w:jc w:val="both"/>
        <w:rPr>
          <w:color w:val="000000"/>
        </w:rPr>
      </w:pPr>
      <w:r>
        <w:rPr>
          <w:color w:val="000000"/>
        </w:rPr>
        <w:t> </w:t>
      </w:r>
    </w:p>
    <w:p>
      <w:pPr>
        <w:pStyle w:val="TextBody"/>
        <w:bidi w:val="0"/>
        <w:jc w:val="both"/>
        <w:rPr>
          <w:color w:val="000000"/>
          <w:sz w:val="20"/>
        </w:rPr>
      </w:pPr>
      <w:r>
        <w:rPr>
          <w:color w:val="000000"/>
          <w:sz w:val="20"/>
        </w:rPr>
        <w:t>In addition, in connection with the ISDA Master Agreement, the Company and Blockchain.com entered into a Credit Support Annex to the Schedule to the ISDA Master Agreement, dated as of March 10, 2026 (the “Credit Support Annex”), which sets forth the terms and conditions upon which the Company will be required to deliver additional collateral to Blockchain.com (and Blockchain.com will be required to return collateral to the Company) depending upon the mark to market exposure under the ISDA Master Agreement and the value of the collateral.</w:t>
      </w:r>
    </w:p>
    <w:p>
      <w:pPr>
        <w:pStyle w:val="TextBody"/>
        <w:bidi w:val="0"/>
        <w:jc w:val="both"/>
        <w:rPr>
          <w:color w:val="000000"/>
        </w:rPr>
      </w:pPr>
      <w:r>
        <w:rPr>
          <w:color w:val="000000"/>
        </w:rPr>
        <w:t> </w:t>
      </w:r>
    </w:p>
    <w:p>
      <w:pPr>
        <w:pStyle w:val="TextBody"/>
        <w:bidi w:val="0"/>
        <w:jc w:val="both"/>
        <w:rPr>
          <w:color w:val="000000"/>
          <w:sz w:val="20"/>
        </w:rPr>
      </w:pPr>
      <w:r>
        <w:rPr>
          <w:color w:val="000000"/>
          <w:sz w:val="20"/>
        </w:rPr>
        <w:t>The ISDA Master Agreement, the Schedule and the Credit Support Annex are governed by the laws of England and Wales.</w:t>
      </w:r>
    </w:p>
    <w:p>
      <w:pPr>
        <w:pStyle w:val="TextBody"/>
        <w:bidi w:val="0"/>
        <w:jc w:val="both"/>
        <w:rPr>
          <w:color w:val="000000"/>
        </w:rPr>
      </w:pPr>
      <w:r>
        <w:rPr>
          <w:color w:val="000000"/>
        </w:rPr>
        <w:t> </w:t>
      </w:r>
    </w:p>
    <w:p>
      <w:pPr>
        <w:pStyle w:val="TextBody"/>
        <w:bidi w:val="0"/>
        <w:jc w:val="both"/>
        <w:rPr>
          <w:color w:val="000000"/>
          <w:sz w:val="20"/>
        </w:rPr>
      </w:pPr>
      <w:r>
        <w:rPr>
          <w:color w:val="000000"/>
          <w:sz w:val="20"/>
        </w:rPr>
        <w:t>The foregoing descriptions of the ISDA Master Agreement, the Schedule, and the Credit Support Annex do not purport to be complete and are qualified in their entirety by reference to the complete text of those agreements, which are filed as Exhibits 10.1 through 10.3 to this Current Report, respectively, and are incorporated by reference herein.</w:t>
      </w:r>
    </w:p>
    <w:p>
      <w:pPr>
        <w:pStyle w:val="TextBody"/>
        <w:bidi w:val="0"/>
        <w:jc w:val="both"/>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848"/>
        <w:gridCol w:w="9319"/>
      </w:tblGrid>
      <w:tr>
        <w:trPr/>
        <w:tc>
          <w:tcPr>
            <w:tcW w:w="3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b/>
                <w:color w:val="000000"/>
              </w:rPr>
            </w:pPr>
            <w:r>
              <w:rPr>
                <w:b/>
                <w:color w:val="000000"/>
              </w:rPr>
              <w:t>Item 2.03</w:t>
            </w:r>
          </w:p>
        </w:tc>
        <w:tc>
          <w:tcPr>
            <w:tcW w:w="9319" w:type="dxa"/>
            <w:tcBorders/>
            <w:vAlign w:val="center"/>
          </w:tcPr>
          <w:p>
            <w:pPr>
              <w:pStyle w:val="TableContents"/>
              <w:bidi w:val="0"/>
              <w:spacing w:before="0" w:after="283"/>
              <w:jc w:val="both"/>
              <w:rPr>
                <w:b/>
                <w:color w:val="000000"/>
              </w:rPr>
            </w:pPr>
            <w:r>
              <w:rPr>
                <w:b/>
                <w:color w:val="000000"/>
              </w:rPr>
              <w:t xml:space="preserve">Creation of a Direct Financial Obligation or an Obligation under an Off-Balance Sheet Arrangement of a </w:t>
              <w:tab/>
              <w:t>Registrant.</w:t>
            </w:r>
          </w:p>
        </w:tc>
      </w:tr>
    </w:tbl>
    <w:p>
      <w:pPr>
        <w:pStyle w:val="TextBody"/>
        <w:bidi w:val="0"/>
        <w:jc w:val="left"/>
        <w:rPr>
          <w:color w:val="000000"/>
        </w:rPr>
      </w:pPr>
      <w:r>
        <w:rPr>
          <w:color w:val="000000"/>
        </w:rPr>
        <w:t> </w:t>
      </w:r>
    </w:p>
    <w:p>
      <w:pPr>
        <w:pStyle w:val="TextBody"/>
        <w:bidi w:val="0"/>
        <w:jc w:val="left"/>
        <w:rPr>
          <w:color w:val="000000"/>
          <w:sz w:val="20"/>
        </w:rPr>
      </w:pPr>
      <w:r>
        <w:rPr>
          <w:color w:val="000000"/>
          <w:sz w:val="20"/>
        </w:rPr>
        <w:t>The information set forth above in Item 1.01 is incorporated by reference into this Item 2.03.</w:t>
      </w:r>
    </w:p>
    <w:p>
      <w:pPr>
        <w:pStyle w:val="TextBody"/>
        <w:bidi w:val="0"/>
        <w:jc w:val="left"/>
        <w:rPr>
          <w:color w:val="000000"/>
        </w:rPr>
      </w:pPr>
      <w:r>
        <w:rPr>
          <w:color w:val="000000"/>
        </w:rPr>
        <w:t> </w:t>
      </w:r>
    </w:p>
    <w:tbl>
      <w:tblPr>
        <w:tblW w:w="2448" w:type="dxa"/>
        <w:jc w:val="left"/>
        <w:tblInd w:w="0" w:type="dxa"/>
        <w:tblLayout w:type="fixed"/>
        <w:tblCellMar>
          <w:top w:w="0" w:type="dxa"/>
          <w:left w:w="0" w:type="dxa"/>
          <w:bottom w:w="0" w:type="dxa"/>
          <w:right w:w="0" w:type="dxa"/>
        </w:tblCellMar>
      </w:tblPr>
      <w:tblGrid>
        <w:gridCol w:w="38"/>
        <w:gridCol w:w="96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color w:val="000000"/>
              </w:rPr>
            </w:pPr>
            <w:r>
              <w:rPr>
                <w:b/>
                <w:color w:val="000000"/>
              </w:rPr>
              <w:t>Item 8.01</w:t>
            </w:r>
          </w:p>
        </w:tc>
        <w:tc>
          <w:tcPr>
            <w:tcW w:w="1445" w:type="dxa"/>
            <w:tcBorders/>
            <w:vAlign w:val="center"/>
          </w:tcPr>
          <w:p>
            <w:pPr>
              <w:pStyle w:val="TableContents"/>
              <w:bidi w:val="0"/>
              <w:spacing w:before="0" w:after="283"/>
              <w:jc w:val="both"/>
              <w:rPr>
                <w:b/>
                <w:color w:val="000000"/>
              </w:rPr>
            </w:pPr>
            <w:r>
              <w:rPr>
                <w:b/>
                <w:color w:val="000000"/>
              </w:rPr>
              <w:t>Other Events.</w:t>
            </w:r>
          </w:p>
        </w:tc>
      </w:tr>
    </w:tbl>
    <w:p>
      <w:pPr>
        <w:pStyle w:val="TextBody"/>
        <w:bidi w:val="0"/>
        <w:jc w:val="both"/>
        <w:rPr>
          <w:color w:val="000000"/>
        </w:rPr>
      </w:pPr>
      <w:r>
        <w:rPr>
          <w:color w:val="000000"/>
        </w:rPr>
        <w:t> </w:t>
      </w:r>
    </w:p>
    <w:p>
      <w:pPr>
        <w:pStyle w:val="TextBody"/>
        <w:bidi w:val="0"/>
        <w:jc w:val="both"/>
        <w:rPr>
          <w:color w:val="000000"/>
          <w:sz w:val="20"/>
        </w:rPr>
      </w:pPr>
      <w:r>
        <w:rPr>
          <w:color w:val="000000"/>
          <w:sz w:val="20"/>
        </w:rPr>
        <w:t>On March 14, 2026, the Company’s management board, with the approval of the supervisory board, ratified the Company’s entry into the ISDA Master Agreement, the Schedule and the Credit Support Annex and approved the adoption of a digital asset treasury strategy and digital asset treasury policy and the purchase by the Company of Bitcoin and other digital assets in connection therewith (the “Treasury Strategy”). Under the Treasury Strategy, the principal holding in the Company’s treasury reserve on its balance sheet will be allocated to digital assets, principally Bitcoin, by applying a covered-call yield strategy. The Company may use available liquidity, including proceeds from previously disclosed financing arrangements, to purchase Bitcoin and other digital assets, subject to applicable law and public disclosure requirements. The Company intends to solicit the ratification by its shareholders of the engagement by the Company in the Treasury Strategy.</w:t>
      </w:r>
    </w:p>
    <w:p>
      <w:pPr>
        <w:pStyle w:val="TextBody"/>
        <w:bidi w:val="0"/>
        <w:jc w:val="both"/>
        <w:rPr>
          <w:color w:val="000000"/>
        </w:rPr>
      </w:pPr>
      <w:r>
        <w:rPr>
          <w:color w:val="000000"/>
        </w:rPr>
        <w:t> </w:t>
      </w:r>
    </w:p>
    <w:p>
      <w:pPr>
        <w:pStyle w:val="TextBody"/>
        <w:bidi w:val="0"/>
        <w:jc w:val="both"/>
        <w:rPr>
          <w:b/>
          <w:color w:val="000000"/>
          <w:sz w:val="20"/>
        </w:rPr>
      </w:pPr>
      <w:r>
        <w:rPr>
          <w:b/>
          <w:color w:val="000000"/>
          <w:sz w:val="20"/>
        </w:rPr>
        <w:t>Forward Looking Statements</w:t>
      </w:r>
    </w:p>
    <w:p>
      <w:pPr>
        <w:pStyle w:val="TextBody"/>
        <w:bidi w:val="0"/>
        <w:jc w:val="both"/>
        <w:rPr>
          <w:color w:val="000000"/>
        </w:rPr>
      </w:pPr>
      <w:r>
        <w:rPr>
          <w:color w:val="000000"/>
        </w:rPr>
        <w:t> </w:t>
      </w:r>
    </w:p>
    <w:p>
      <w:pPr>
        <w:pStyle w:val="TextBody"/>
        <w:bidi w:val="0"/>
        <w:jc w:val="both"/>
        <w:rPr>
          <w:color w:val="000000"/>
          <w:sz w:val="20"/>
        </w:rPr>
      </w:pPr>
      <w:r>
        <w:rPr>
          <w:color w:val="000000"/>
          <w:sz w:val="20"/>
        </w:rPr>
        <w:t>This Current Report contains certain “forward-looking statements” within the meaning of the Private Securities Litigation Reform Act of 1995, Section 27A of the Securities Act of 1933, as amended, and Section 21E of the Securities Exchange Act of 1934, as amended. Such forward-looking statements include, but are not limited to, statements regarding the consummation of the Transactions, including their timing, the use of proceeds of the private placements, the receipt of any required shareholder approvals, the projected operational and financial performance of the Company and its subsidiaries, its product offerings and developments and business plans, and the Company’s expectations, hopes, beliefs, intentions, plans, prospects or strategies regarding the future revenue and the business plans of the Company’s management team. Any statements contained herein that are not statements of historical fact may be deemed to be forward-looking statements.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“seek,” “should,” “will,” “would” and similar expressions may identify forward-looking statements, but the absence of these words does not mean that a statement is not forward-looking. The forward-looking statements contained in this Current Report are based on certain assumptions and analyses made by the management of the Company considering their respective experience and perception of historical trends, current conditions, and expected future developments and their potential effects on the Company as well as other factors they believe are appropriate in the circumstances. There can be no assurance that future developments affecting the Company will be those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including the occurrence of any uncured event of default or any event, change or other circumstance that could give rise to the termination of the ISDA Master Agreement; the consummation and timing of any Transactions; the outcome of any legal proceedings that may be instituted against the Company; risks associated with the Treasury Strategy, including the Transactions, replacing current plans and operations of the Company; potential difficulties in employee retention as a result of the Treasury Strategy; whether the Company will be able to maintain compliance with the continued listing standards of The Nasdaq Stock Market LLC or comply with the initial listing standards of another national securities exchange; the ability of the Company to service or otherwise pay its debt obligations; market acceptance of the Company’s product offerings; that the Company will have sufficient capital to operate as anticipated; the demand for the Company’s products; and global supply chains and legislative, regulatory and economic developments in general. Should one or more of these risks or uncertainties materialize or should any of the assumptions being made prove incorrect, actual results may vary in material respects from those projected in these forward-looking statements. The Company undertakes no obligation to update or revise any forward-looking statements, whether because of new information, future events, or otherwise, except as may be required under applicable securities laws.</w:t>
      </w:r>
    </w:p>
    <w:p>
      <w:pPr>
        <w:pStyle w:val="TextBody"/>
        <w:bidi w:val="0"/>
        <w:jc w:val="both"/>
        <w:rPr>
          <w:color w:val="000000"/>
        </w:rPr>
      </w:pPr>
      <w:r>
        <w:rPr>
          <w:color w:val="000000"/>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b/>
          <w:color w:val="000000"/>
          <w:sz w:val="20"/>
        </w:rPr>
      </w:pPr>
      <w:r>
        <w:rPr>
          <w:b/>
          <w:color w:val="000000"/>
          <w:sz w:val="20"/>
        </w:rPr>
        <w:t>Additional Information and Where to Find It</w:t>
      </w:r>
    </w:p>
    <w:p>
      <w:pPr>
        <w:pStyle w:val="TextBody"/>
        <w:bidi w:val="0"/>
        <w:jc w:val="both"/>
        <w:rPr>
          <w:color w:val="000000"/>
        </w:rPr>
      </w:pPr>
      <w:r>
        <w:rPr>
          <w:color w:val="000000"/>
        </w:rPr>
        <w:t> </w:t>
      </w:r>
    </w:p>
    <w:p>
      <w:pPr>
        <w:pStyle w:val="TextBody"/>
        <w:bidi w:val="0"/>
        <w:jc w:val="both"/>
        <w:rPr>
          <w:color w:val="000000"/>
          <w:sz w:val="20"/>
        </w:rPr>
      </w:pPr>
      <w:r>
        <w:rPr>
          <w:color w:val="000000"/>
          <w:sz w:val="20"/>
        </w:rPr>
        <w:t>In connection with the solicitation of the ratification by the Company’s shareholders of the engagement by the Company in the Treasury Strategy, the Company intends to file with the Securities and Exchange Commission (the “SEC”) a proxy statement on Schedule 14A (the “Proxy Statement”) relating to an extraordinary general meeting of the Company’s shareholders to be held for the purpose of ratifying the Company’s engagement in the Treasury Strategy (the “Special Meeting”). This Current Report is not a substitute for the Proxy Statement or any other document that the Company may file with the SEC or send to the Company’s shareholders in connection with the Special Meeting. This Current Report does not contain all of the information that should be considered in respect of the matters to be noticed for the Special Meeting in the Proxy Statement, and additional information will be set forth in the Proxy Statement when it becomes available. Shareholders of the Company are urged to read all relevant documents filed with the SEC, including the Proxy Statement, as well as any amendments or supplements to these documents, carefully when they become available. Promptly after filing its definitive Proxy Statement with the SEC, the Company will mail the definitive Proxy Statement and a proxy card to each shareholder of the Company entitled to vote at the Special Meeting as of a record date to be established for voting at the Special Meeting.</w:t>
      </w:r>
    </w:p>
    <w:p>
      <w:pPr>
        <w:pStyle w:val="TextBody"/>
        <w:bidi w:val="0"/>
        <w:jc w:val="both"/>
        <w:rPr>
          <w:color w:val="000000"/>
        </w:rPr>
      </w:pPr>
      <w:r>
        <w:rPr>
          <w:color w:val="000000"/>
        </w:rPr>
        <w:t> </w:t>
      </w:r>
    </w:p>
    <w:p>
      <w:pPr>
        <w:pStyle w:val="TextBody"/>
        <w:bidi w:val="0"/>
        <w:jc w:val="both"/>
        <w:rPr>
          <w:color w:val="000000"/>
          <w:sz w:val="20"/>
        </w:rPr>
      </w:pPr>
      <w:r>
        <w:rPr>
          <w:color w:val="000000"/>
          <w:sz w:val="20"/>
        </w:rPr>
        <w:t>Shareholders may also obtain a copy of the Proxy Statement, as well as other documents filed by the Company with the SEC without charge, at the SEC’s website located at www.sec.gov. In addition, shareholders may obtain a free copy of the Company’s filings with the SEC from the Company’s website at https://ir.sonomotors.com/.</w:t>
      </w:r>
    </w:p>
    <w:p>
      <w:pPr>
        <w:pStyle w:val="TextBody"/>
        <w:bidi w:val="0"/>
        <w:jc w:val="both"/>
        <w:rPr>
          <w:color w:val="000000"/>
        </w:rPr>
      </w:pPr>
      <w:r>
        <w:rPr>
          <w:color w:val="000000"/>
        </w:rPr>
        <w:t> </w:t>
      </w:r>
    </w:p>
    <w:p>
      <w:pPr>
        <w:pStyle w:val="TextBody"/>
        <w:bidi w:val="0"/>
        <w:jc w:val="both"/>
        <w:rPr>
          <w:b/>
          <w:color w:val="000000"/>
          <w:sz w:val="20"/>
        </w:rPr>
      </w:pPr>
      <w:r>
        <w:rPr>
          <w:b/>
          <w:color w:val="000000"/>
          <w:sz w:val="20"/>
        </w:rPr>
        <w:t>Participants in the Solicitation</w:t>
      </w:r>
    </w:p>
    <w:p>
      <w:pPr>
        <w:pStyle w:val="TextBody"/>
        <w:bidi w:val="0"/>
        <w:jc w:val="both"/>
        <w:rPr>
          <w:color w:val="000000"/>
        </w:rPr>
      </w:pPr>
      <w:r>
        <w:rPr>
          <w:color w:val="000000"/>
        </w:rPr>
        <w:t> </w:t>
      </w:r>
    </w:p>
    <w:p>
      <w:pPr>
        <w:pStyle w:val="TextBody"/>
        <w:bidi w:val="0"/>
        <w:jc w:val="both"/>
        <w:rPr>
          <w:color w:val="000000"/>
          <w:sz w:val="20"/>
        </w:rPr>
      </w:pPr>
      <w:r>
        <w:rPr>
          <w:color w:val="000000"/>
          <w:sz w:val="20"/>
        </w:rPr>
        <w:t>The Company and its directors, executive officers, employees and other persons may be deemed to be participants in the solicitation of proxies from the Company’s shareholders in connection with the Special Meeting under SEC rules. Shareholders may obtain more detailed information regarding the names, affiliations and interests of the Company’s executive officers and directors in the solicitation by reading the Company’s Annual Report on Form 10-K for the fiscal year ended December 31, 2024, as filed with the SEC on April 17, 2025, the Company’s proxy statement on Schedule 14A filed with the SEC on July 24, 2025 in connection with its 2025 annual general meeting of shareholders, and the Proxy Statement when it becomes available.</w:t>
      </w:r>
    </w:p>
    <w:p>
      <w:pPr>
        <w:pStyle w:val="TextBody"/>
        <w:bidi w:val="0"/>
        <w:jc w:val="both"/>
        <w:rPr>
          <w:color w:val="000000"/>
        </w:rPr>
      </w:pPr>
      <w:r>
        <w:rPr>
          <w:color w:val="000000"/>
        </w:rPr>
        <w:t> </w:t>
      </w:r>
    </w:p>
    <w:p>
      <w:pPr>
        <w:pStyle w:val="TextBody"/>
        <w:bidi w:val="0"/>
        <w:jc w:val="both"/>
        <w:rPr>
          <w:b/>
          <w:color w:val="000000"/>
          <w:sz w:val="20"/>
        </w:rPr>
      </w:pPr>
      <w:r>
        <w:rPr>
          <w:b/>
          <w:color w:val="000000"/>
          <w:sz w:val="20"/>
        </w:rPr>
        <w:t>No Solicitation</w:t>
      </w:r>
    </w:p>
    <w:p>
      <w:pPr>
        <w:pStyle w:val="TextBody"/>
        <w:bidi w:val="0"/>
        <w:jc w:val="both"/>
        <w:rPr>
          <w:color w:val="000000"/>
        </w:rPr>
      </w:pPr>
      <w:r>
        <w:rPr>
          <w:color w:val="000000"/>
        </w:rPr>
        <w:t> </w:t>
      </w:r>
    </w:p>
    <w:p>
      <w:pPr>
        <w:pStyle w:val="TextBody"/>
        <w:bidi w:val="0"/>
        <w:jc w:val="both"/>
        <w:rPr>
          <w:color w:val="000000"/>
          <w:sz w:val="20"/>
        </w:rPr>
      </w:pPr>
      <w:r>
        <w:rPr>
          <w:color w:val="000000"/>
          <w:sz w:val="20"/>
        </w:rPr>
        <w:t>This Current Report shall not constitute a solicitation of a proxy, consent or authorization with respect to any securities or in respect of the matters to be noticed in the definitive Proxy Statement when it becomes available.</w:t>
      </w:r>
    </w:p>
    <w:p>
      <w:pPr>
        <w:pStyle w:val="TextBody"/>
        <w:bidi w:val="0"/>
        <w:jc w:val="left"/>
        <w:rPr>
          <w:color w:val="000000"/>
        </w:rPr>
      </w:pPr>
      <w:r>
        <w:rPr>
          <w:color w:val="000000"/>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color w:val="000000"/>
              </w:rPr>
            </w:pPr>
            <w:r>
              <w:rPr>
                <w:b/>
                <w:color w:val="000000"/>
              </w:rPr>
              <w:t>Item 9.01</w:t>
            </w:r>
          </w:p>
        </w:tc>
        <w:tc>
          <w:tcPr>
            <w:tcW w:w="3560" w:type="dxa"/>
            <w:tcBorders/>
            <w:vAlign w:val="center"/>
          </w:tcPr>
          <w:p>
            <w:pPr>
              <w:pStyle w:val="TableContents"/>
              <w:bidi w:val="0"/>
              <w:spacing w:before="0" w:after="283"/>
              <w:jc w:val="left"/>
              <w:rPr>
                <w:b/>
                <w:color w:val="000000"/>
              </w:rPr>
            </w:pPr>
            <w:r>
              <w:rPr>
                <w:b/>
                <w:color w:val="000000"/>
              </w:rPr>
              <w:t>Financial Statements and Exhibits.</w:t>
            </w:r>
          </w:p>
        </w:tc>
      </w:tr>
    </w:tbl>
    <w:p>
      <w:pPr>
        <w:pStyle w:val="TextBody"/>
        <w:bidi w:val="0"/>
        <w:jc w:val="left"/>
        <w:rPr>
          <w:color w:val="000000"/>
        </w:rPr>
      </w:pPr>
      <w:r>
        <w:rPr>
          <w:color w:val="000000"/>
        </w:rPr>
        <w:t> </w:t>
      </w:r>
    </w:p>
    <w:p>
      <w:pPr>
        <w:pStyle w:val="TextBody"/>
        <w:bidi w:val="0"/>
        <w:jc w:val="left"/>
        <w:rPr>
          <w:color w:val="000000"/>
          <w:sz w:val="20"/>
        </w:rPr>
      </w:pPr>
      <w:r>
        <w:rPr>
          <w:i/>
          <w:color w:val="000000"/>
          <w:sz w:val="20"/>
        </w:rPr>
        <w:t>(d) Exhibits.</w:t>
      </w:r>
      <w:r>
        <w:rPr>
          <w:color w:val="000000"/>
          <w:sz w:val="20"/>
        </w:rPr>
        <w:t xml:space="preserve"> The following exhibits are filed with this Current Report:</w:t>
      </w:r>
    </w:p>
    <w:p>
      <w:pPr>
        <w:pStyle w:val="TextBody"/>
        <w:bidi w:val="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650"/>
        <w:gridCol w:w="60"/>
        <w:gridCol w:w="9495"/>
      </w:tblGrid>
      <w:tr>
        <w:trPr/>
        <w:tc>
          <w:tcPr>
            <w:tcW w:w="650" w:type="dxa"/>
            <w:tcBorders/>
            <w:vAlign w:val="center"/>
          </w:tcPr>
          <w:p>
            <w:pPr>
              <w:pStyle w:val="TableContents"/>
              <w:bidi w:val="0"/>
              <w:spacing w:before="0" w:after="283"/>
              <w:jc w:val="left"/>
              <w:rPr>
                <w:color w:val="000000"/>
                <w:sz w:val="20"/>
                <w:u w:val="single"/>
              </w:rPr>
            </w:pPr>
            <w:r>
              <w:rPr>
                <w:color w:val="000000"/>
                <w:sz w:val="20"/>
                <w:u w:val="single"/>
              </w:rPr>
              <w:t>Exhibit</w:t>
            </w:r>
          </w:p>
        </w:tc>
        <w:tc>
          <w:tcPr>
            <w:tcW w:w="60" w:type="dxa"/>
            <w:tcBorders/>
            <w:vAlign w:val="center"/>
          </w:tcPr>
          <w:p>
            <w:pPr>
              <w:pStyle w:val="TableContents"/>
              <w:bidi w:val="0"/>
              <w:spacing w:before="0" w:after="283"/>
              <w:jc w:val="left"/>
              <w:rPr>
                <w:color w:val="000000"/>
              </w:rPr>
            </w:pPr>
            <w:r>
              <w:rPr>
                <w:color w:val="000000"/>
              </w:rPr>
              <w:t> </w:t>
            </w:r>
          </w:p>
        </w:tc>
        <w:tc>
          <w:tcPr>
            <w:tcW w:w="9495" w:type="dxa"/>
            <w:tcBorders/>
            <w:vAlign w:val="center"/>
          </w:tcPr>
          <w:p>
            <w:pPr>
              <w:pStyle w:val="TableContents"/>
              <w:bidi w:val="0"/>
              <w:spacing w:before="0" w:after="283"/>
              <w:jc w:val="left"/>
              <w:rPr>
                <w:color w:val="000000"/>
                <w:sz w:val="20"/>
                <w:u w:val="single"/>
              </w:rPr>
            </w:pPr>
            <w:r>
              <w:rPr>
                <w:color w:val="000000"/>
                <w:sz w:val="20"/>
                <w:u w:val="single"/>
              </w:rPr>
              <w:t>Description of Exhibit</w:t>
            </w:r>
          </w:p>
        </w:tc>
      </w:tr>
      <w:tr>
        <w:trPr/>
        <w:tc>
          <w:tcPr>
            <w:tcW w:w="650" w:type="dxa"/>
            <w:tcBorders/>
            <w:vAlign w:val="center"/>
          </w:tcPr>
          <w:p>
            <w:pPr>
              <w:pStyle w:val="TableContents"/>
              <w:bidi w:val="0"/>
              <w:spacing w:before="0" w:after="283"/>
              <w:jc w:val="left"/>
              <w:rPr/>
            </w:pPr>
            <w:hyperlink w:anchor="exh_101.htm">
              <w:r>
                <w:rPr>
                  <w:rStyle w:val="InternetLink"/>
                  <w:color w:val="000000"/>
                  <w:sz w:val="20"/>
                </w:rPr>
                <w:t>10.1</w:t>
              </w:r>
            </w:hyperlink>
          </w:p>
        </w:tc>
        <w:tc>
          <w:tcPr>
            <w:tcW w:w="60" w:type="dxa"/>
            <w:tcBorders/>
            <w:vAlign w:val="center"/>
          </w:tcPr>
          <w:p>
            <w:pPr>
              <w:pStyle w:val="TableContents"/>
              <w:bidi w:val="0"/>
              <w:spacing w:before="0" w:after="283"/>
              <w:jc w:val="left"/>
              <w:rPr>
                <w:color w:val="000000"/>
              </w:rPr>
            </w:pPr>
            <w:r>
              <w:rPr>
                <w:color w:val="000000"/>
              </w:rPr>
              <w:t> </w:t>
            </w:r>
          </w:p>
        </w:tc>
        <w:tc>
          <w:tcPr>
            <w:tcW w:w="9495" w:type="dxa"/>
            <w:tcBorders/>
            <w:vAlign w:val="center"/>
          </w:tcPr>
          <w:p>
            <w:pPr>
              <w:pStyle w:val="TableContents"/>
              <w:bidi w:val="0"/>
              <w:spacing w:before="0" w:after="283"/>
              <w:jc w:val="both"/>
              <w:rPr/>
            </w:pPr>
            <w:hyperlink w:anchor="exh_101.htm">
              <w:r>
                <w:rPr>
                  <w:rStyle w:val="InternetLink"/>
                  <w:color w:val="000000"/>
                  <w:sz w:val="20"/>
                </w:rPr>
                <w:t>International Swaps and Derivatives Association, Inc. 2002 ISDA Master Agreement, dated as of March 10, 2026, between Blockchain.com (BVI) II Limited and Sono Group N.V.</w:t>
              </w:r>
            </w:hyperlink>
          </w:p>
        </w:tc>
      </w:tr>
      <w:tr>
        <w:trPr/>
        <w:tc>
          <w:tcPr>
            <w:tcW w:w="650" w:type="dxa"/>
            <w:tcBorders/>
            <w:vAlign w:val="center"/>
          </w:tcPr>
          <w:p>
            <w:pPr>
              <w:pStyle w:val="TableContents"/>
              <w:bidi w:val="0"/>
              <w:spacing w:before="0" w:after="283"/>
              <w:jc w:val="left"/>
              <w:rPr/>
            </w:pPr>
            <w:hyperlink w:anchor="exh_102.htm">
              <w:r>
                <w:rPr>
                  <w:rStyle w:val="InternetLink"/>
                  <w:color w:val="000000"/>
                  <w:sz w:val="20"/>
                </w:rPr>
                <w:t>10.2</w:t>
              </w:r>
            </w:hyperlink>
          </w:p>
        </w:tc>
        <w:tc>
          <w:tcPr>
            <w:tcW w:w="60" w:type="dxa"/>
            <w:tcBorders/>
            <w:vAlign w:val="center"/>
          </w:tcPr>
          <w:p>
            <w:pPr>
              <w:pStyle w:val="TableContents"/>
              <w:bidi w:val="0"/>
              <w:spacing w:before="0" w:after="283"/>
              <w:jc w:val="left"/>
              <w:rPr>
                <w:color w:val="000000"/>
              </w:rPr>
            </w:pPr>
            <w:r>
              <w:rPr>
                <w:color w:val="000000"/>
              </w:rPr>
              <w:t> </w:t>
            </w:r>
          </w:p>
        </w:tc>
        <w:tc>
          <w:tcPr>
            <w:tcW w:w="9495" w:type="dxa"/>
            <w:tcBorders/>
            <w:vAlign w:val="center"/>
          </w:tcPr>
          <w:p>
            <w:pPr>
              <w:pStyle w:val="TableContents"/>
              <w:bidi w:val="0"/>
              <w:spacing w:before="0" w:after="283"/>
              <w:jc w:val="both"/>
              <w:rPr/>
            </w:pPr>
            <w:hyperlink w:anchor="exh_102.htm">
              <w:r>
                <w:rPr>
                  <w:rStyle w:val="InternetLink"/>
                  <w:color w:val="000000"/>
                  <w:sz w:val="20"/>
                </w:rPr>
                <w:t>International Swaps and Derivatives Association, Inc. Schedule to the 2002 ISDA Master Agreement, dated as of March 10, 2026, between Blockchain.com (BVI) II Limited and Sono Group N.V.</w:t>
              </w:r>
            </w:hyperlink>
          </w:p>
        </w:tc>
      </w:tr>
      <w:tr>
        <w:trPr/>
        <w:tc>
          <w:tcPr>
            <w:tcW w:w="650" w:type="dxa"/>
            <w:tcBorders/>
            <w:vAlign w:val="center"/>
          </w:tcPr>
          <w:p>
            <w:pPr>
              <w:pStyle w:val="TableContents"/>
              <w:bidi w:val="0"/>
              <w:spacing w:before="0" w:after="283"/>
              <w:jc w:val="left"/>
              <w:rPr/>
            </w:pPr>
            <w:hyperlink w:anchor="exh_103.htm">
              <w:r>
                <w:rPr>
                  <w:rStyle w:val="InternetLink"/>
                  <w:color w:val="000000"/>
                  <w:sz w:val="20"/>
                </w:rPr>
                <w:t>10.3</w:t>
              </w:r>
            </w:hyperlink>
          </w:p>
        </w:tc>
        <w:tc>
          <w:tcPr>
            <w:tcW w:w="60" w:type="dxa"/>
            <w:tcBorders/>
            <w:vAlign w:val="center"/>
          </w:tcPr>
          <w:p>
            <w:pPr>
              <w:pStyle w:val="TableContents"/>
              <w:bidi w:val="0"/>
              <w:spacing w:before="0" w:after="283"/>
              <w:jc w:val="left"/>
              <w:rPr>
                <w:color w:val="000000"/>
              </w:rPr>
            </w:pPr>
            <w:r>
              <w:rPr>
                <w:color w:val="000000"/>
              </w:rPr>
              <w:t> </w:t>
            </w:r>
          </w:p>
        </w:tc>
        <w:tc>
          <w:tcPr>
            <w:tcW w:w="9495" w:type="dxa"/>
            <w:tcBorders/>
            <w:vAlign w:val="center"/>
          </w:tcPr>
          <w:p>
            <w:pPr>
              <w:pStyle w:val="TableContents"/>
              <w:bidi w:val="0"/>
              <w:spacing w:before="0" w:after="283"/>
              <w:jc w:val="both"/>
              <w:rPr/>
            </w:pPr>
            <w:hyperlink w:anchor="exh_103.htm">
              <w:r>
                <w:rPr>
                  <w:rStyle w:val="InternetLink"/>
                  <w:color w:val="000000"/>
                  <w:sz w:val="20"/>
                </w:rPr>
                <w:t>International Swaps and Derivatives Association, Inc. Credit Support Annex to the Schedule to the 2002 ISDA Master Agreement, dated as of March 10, 2026, between Blockchain.com (BVI) II Limited and Sono Group N.V.</w:t>
              </w:r>
            </w:hyperlink>
          </w:p>
        </w:tc>
      </w:tr>
      <w:tr>
        <w:trPr/>
        <w:tc>
          <w:tcPr>
            <w:tcW w:w="650" w:type="dxa"/>
            <w:tcBorders/>
            <w:vAlign w:val="center"/>
          </w:tcPr>
          <w:p>
            <w:pPr>
              <w:pStyle w:val="TableContents"/>
              <w:bidi w:val="0"/>
              <w:spacing w:before="0" w:after="283"/>
              <w:jc w:val="left"/>
              <w:rPr>
                <w:color w:val="000000"/>
                <w:sz w:val="20"/>
              </w:rPr>
            </w:pPr>
            <w:r>
              <w:rPr>
                <w:color w:val="000000"/>
                <w:sz w:val="20"/>
              </w:rPr>
              <w:t>104</w:t>
            </w:r>
          </w:p>
        </w:tc>
        <w:tc>
          <w:tcPr>
            <w:tcW w:w="60" w:type="dxa"/>
            <w:tcBorders/>
            <w:vAlign w:val="center"/>
          </w:tcPr>
          <w:p>
            <w:pPr>
              <w:pStyle w:val="TableContents"/>
              <w:bidi w:val="0"/>
              <w:spacing w:before="0" w:after="283"/>
              <w:jc w:val="left"/>
              <w:rPr>
                <w:color w:val="000000"/>
              </w:rPr>
            </w:pPr>
            <w:r>
              <w:rPr>
                <w:color w:val="000000"/>
              </w:rPr>
              <w:t> </w:t>
            </w:r>
          </w:p>
        </w:tc>
        <w:tc>
          <w:tcPr>
            <w:tcW w:w="9495" w:type="dxa"/>
            <w:tcBorders/>
            <w:vAlign w:val="center"/>
          </w:tcPr>
          <w:p>
            <w:pPr>
              <w:pStyle w:val="TableContents"/>
              <w:bidi w:val="0"/>
              <w:spacing w:before="0" w:after="283"/>
              <w:jc w:val="left"/>
              <w:rPr>
                <w:color w:val="000000"/>
                <w:sz w:val="20"/>
              </w:rPr>
            </w:pPr>
            <w:r>
              <w:rPr>
                <w:color w:val="000000"/>
                <w:sz w:val="20"/>
              </w:rPr>
              <w:t>Cover Page Interactive Data File (embedded within the Inline XBRL document)</w:t>
            </w:r>
          </w:p>
        </w:tc>
      </w:tr>
    </w:tbl>
    <w:p>
      <w:pPr>
        <w:pStyle w:val="TextBody"/>
        <w:bidi w:val="0"/>
        <w:jc w:val="left"/>
        <w:rPr>
          <w:color w:val="000000"/>
        </w:rPr>
      </w:pPr>
      <w:r>
        <w:rPr>
          <w:color w:val="000000"/>
        </w:rPr>
        <w:t> </w:t>
      </w:r>
    </w:p>
    <w:p>
      <w:pPr>
        <w:pStyle w:val="TextBody"/>
        <w:bidi w:val="0"/>
        <w:jc w:val="left"/>
        <w:rPr>
          <w:color w:val="000000"/>
        </w:rPr>
      </w:pPr>
      <w:r>
        <w:rPr>
          <w:color w:val="000000"/>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40"/>
        <w:jc w:val="center"/>
        <w:rPr>
          <w:b/>
          <w:color w:val="000000"/>
          <w:sz w:val="20"/>
        </w:rPr>
      </w:pPr>
      <w:r>
        <w:rPr>
          <w:b/>
          <w:color w:val="000000"/>
          <w:sz w:val="20"/>
        </w:rPr>
        <w:t>SIGNATURE</w:t>
      </w:r>
    </w:p>
    <w:p>
      <w:pPr>
        <w:pStyle w:val="TextBody"/>
        <w:bidi w:val="0"/>
        <w:spacing w:before="0" w:after="240"/>
        <w:jc w:val="left"/>
        <w:rPr>
          <w:color w:val="000000"/>
          <w:sz w:val="20"/>
        </w:rPr>
      </w:pPr>
      <w:r>
        <w:rPr>
          <w:color w:val="000000"/>
          <w:sz w:val="20"/>
        </w:rPr>
        <w:t>Pursuant to the requirements of the Securities Exchange Act of 1934, the registrant has duly caused this report to be signed on its behalf by the undersigned hereunto duly authorized.</w:t>
      </w:r>
    </w:p>
    <w:tbl>
      <w:tblPr>
        <w:tblW w:w="3285" w:type="dxa"/>
        <w:jc w:val="left"/>
        <w:tblInd w:w="0" w:type="dxa"/>
        <w:tblLayout w:type="fixed"/>
        <w:tblCellMar>
          <w:top w:w="0" w:type="dxa"/>
          <w:left w:w="0" w:type="dxa"/>
          <w:bottom w:w="0" w:type="dxa"/>
          <w:right w:w="0" w:type="dxa"/>
        </w:tblCellMar>
      </w:tblPr>
      <w:tblGrid>
        <w:gridCol w:w="75"/>
        <w:gridCol w:w="260"/>
        <w:gridCol w:w="590"/>
        <w:gridCol w:w="2360"/>
      </w:tblGrid>
      <w:tr>
        <w:trPr/>
        <w:tc>
          <w:tcPr>
            <w:tcW w:w="75" w:type="dxa"/>
            <w:tcBorders/>
            <w:vAlign w:val="center"/>
          </w:tcPr>
          <w:p>
            <w:pPr>
              <w:pStyle w:val="TableContents"/>
              <w:bidi w:val="0"/>
              <w:spacing w:before="0" w:after="283"/>
              <w:jc w:val="left"/>
              <w:rPr/>
            </w:pPr>
            <w:r>
              <w:rPr/>
              <w:t> </w:t>
            </w:r>
          </w:p>
        </w:tc>
        <w:tc>
          <w:tcPr>
            <w:tcW w:w="3210" w:type="dxa"/>
            <w:gridSpan w:val="3"/>
            <w:tcBorders/>
            <w:vAlign w:val="center"/>
          </w:tcPr>
          <w:p>
            <w:pPr>
              <w:pStyle w:val="TableContents"/>
              <w:bidi w:val="0"/>
              <w:spacing w:before="0" w:after="283"/>
              <w:jc w:val="left"/>
              <w:rPr>
                <w:b/>
                <w:color w:val="000000"/>
                <w:sz w:val="20"/>
              </w:rPr>
            </w:pPr>
            <w:r>
              <w:rPr>
                <w:b/>
                <w:color w:val="000000"/>
                <w:sz w:val="20"/>
              </w:rPr>
              <w:t>Sono Group N.V.</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color w:val="000000"/>
              </w:rPr>
            </w:pPr>
            <w:r>
              <w:rPr>
                <w:color w:val="000000"/>
              </w:rPr>
              <w:t> </w:t>
            </w:r>
          </w:p>
        </w:tc>
        <w:tc>
          <w:tcPr>
            <w:tcW w:w="2950" w:type="dxa"/>
            <w:gridSpan w:val="2"/>
            <w:tcBorders/>
            <w:vAlign w:val="center"/>
          </w:tcPr>
          <w:p>
            <w:pPr>
              <w:pStyle w:val="TableContents"/>
              <w:bidi w:val="0"/>
              <w:spacing w:before="0" w:after="283"/>
              <w:jc w:val="left"/>
              <w:rPr>
                <w:color w:val="000000"/>
              </w:rPr>
            </w:pPr>
            <w:r>
              <w:rPr>
                <w:color w:val="000000"/>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color w:val="000000"/>
              </w:rPr>
            </w:pPr>
            <w:r>
              <w:rPr>
                <w:color w:val="000000"/>
              </w:rPr>
              <w:t> </w:t>
            </w:r>
          </w:p>
        </w:tc>
        <w:tc>
          <w:tcPr>
            <w:tcW w:w="2950" w:type="dxa"/>
            <w:gridSpan w:val="2"/>
            <w:tcBorders/>
            <w:vAlign w:val="center"/>
          </w:tcPr>
          <w:p>
            <w:pPr>
              <w:pStyle w:val="TableContents"/>
              <w:bidi w:val="0"/>
              <w:spacing w:before="0" w:after="283"/>
              <w:jc w:val="left"/>
              <w:rPr>
                <w:color w:val="000000"/>
              </w:rPr>
            </w:pPr>
            <w:r>
              <w:rPr>
                <w:color w:val="000000"/>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color w:val="000000"/>
                <w:sz w:val="20"/>
              </w:rPr>
            </w:pPr>
            <w:r>
              <w:rPr>
                <w:color w:val="000000"/>
                <w:sz w:val="20"/>
              </w:rPr>
              <w:t>By</w:t>
            </w:r>
          </w:p>
        </w:tc>
        <w:tc>
          <w:tcPr>
            <w:tcW w:w="2950" w:type="dxa"/>
            <w:gridSpan w:val="2"/>
            <w:tcBorders>
              <w:bottom w:val="single" w:sz="8" w:space="0" w:color="000000"/>
            </w:tcBorders>
            <w:tcMar>
              <w:bottom w:w="28" w:type="dxa"/>
            </w:tcMar>
            <w:vAlign w:val="center"/>
          </w:tcPr>
          <w:p>
            <w:pPr>
              <w:pStyle w:val="TableContents"/>
              <w:bidi w:val="0"/>
              <w:spacing w:before="0" w:after="283"/>
              <w:jc w:val="left"/>
              <w:rPr>
                <w:color w:val="000000"/>
              </w:rPr>
            </w:pPr>
            <w:r>
              <w:rPr>
                <w:color w:val="000000"/>
              </w:rPr>
              <w:t> </w:t>
            </w:r>
            <w:r>
              <w:rPr>
                <w:color w:val="000000"/>
                <w:sz w:val="20"/>
              </w:rPr>
              <w:t>/s/ Kevin McGurn</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color w:val="000000"/>
              </w:rPr>
            </w:pPr>
            <w:r>
              <w:rPr>
                <w:color w:val="000000"/>
              </w:rPr>
              <w:t> </w:t>
            </w:r>
          </w:p>
        </w:tc>
        <w:tc>
          <w:tcPr>
            <w:tcW w:w="590" w:type="dxa"/>
            <w:tcBorders/>
            <w:vAlign w:val="center"/>
          </w:tcPr>
          <w:p>
            <w:pPr>
              <w:pStyle w:val="TableContents"/>
              <w:bidi w:val="0"/>
              <w:spacing w:before="0" w:after="283"/>
              <w:jc w:val="left"/>
              <w:rPr>
                <w:color w:val="000000"/>
                <w:sz w:val="20"/>
              </w:rPr>
            </w:pPr>
            <w:r>
              <w:rPr>
                <w:color w:val="000000"/>
                <w:sz w:val="20"/>
              </w:rPr>
              <w:t xml:space="preserve">Name: </w:t>
            </w:r>
          </w:p>
        </w:tc>
        <w:tc>
          <w:tcPr>
            <w:tcW w:w="2360" w:type="dxa"/>
            <w:tcBorders/>
            <w:vAlign w:val="center"/>
          </w:tcPr>
          <w:p>
            <w:pPr>
              <w:pStyle w:val="TableContents"/>
              <w:bidi w:val="0"/>
              <w:spacing w:before="0" w:after="283"/>
              <w:jc w:val="left"/>
              <w:rPr>
                <w:color w:val="000000"/>
                <w:sz w:val="20"/>
              </w:rPr>
            </w:pPr>
            <w:r>
              <w:rPr>
                <w:color w:val="000000"/>
                <w:sz w:val="20"/>
              </w:rPr>
              <w:t>Kevin McGurn</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color w:val="000000"/>
              </w:rPr>
            </w:pPr>
            <w:r>
              <w:rPr>
                <w:color w:val="000000"/>
              </w:rPr>
              <w:t> </w:t>
            </w:r>
          </w:p>
        </w:tc>
        <w:tc>
          <w:tcPr>
            <w:tcW w:w="590" w:type="dxa"/>
            <w:tcBorders/>
            <w:vAlign w:val="center"/>
          </w:tcPr>
          <w:p>
            <w:pPr>
              <w:pStyle w:val="TableContents"/>
              <w:bidi w:val="0"/>
              <w:spacing w:before="0" w:after="283"/>
              <w:jc w:val="left"/>
              <w:rPr>
                <w:color w:val="000000"/>
                <w:sz w:val="20"/>
              </w:rPr>
            </w:pPr>
            <w:r>
              <w:rPr>
                <w:color w:val="000000"/>
                <w:sz w:val="20"/>
              </w:rPr>
              <w:t>Title:</w:t>
            </w:r>
          </w:p>
        </w:tc>
        <w:tc>
          <w:tcPr>
            <w:tcW w:w="2360" w:type="dxa"/>
            <w:tcBorders/>
            <w:vAlign w:val="center"/>
          </w:tcPr>
          <w:p>
            <w:pPr>
              <w:pStyle w:val="TableContents"/>
              <w:bidi w:val="0"/>
              <w:spacing w:before="0" w:after="283"/>
              <w:jc w:val="left"/>
              <w:rPr>
                <w:color w:val="000000"/>
                <w:sz w:val="20"/>
              </w:rPr>
            </w:pPr>
            <w:r>
              <w:rPr>
                <w:color w:val="000000"/>
                <w:sz w:val="20"/>
              </w:rPr>
              <w:t>CEO and Managing Director</w:t>
            </w:r>
          </w:p>
        </w:tc>
      </w:tr>
    </w:tbl>
    <w:p>
      <w:pPr>
        <w:pStyle w:val="TextBody"/>
        <w:bidi w:val="0"/>
        <w:spacing w:before="0" w:after="160"/>
        <w:jc w:val="left"/>
        <w:rPr>
          <w:color w:val="000000"/>
          <w:sz w:val="20"/>
        </w:rPr>
      </w:pPr>
      <w:r>
        <w:rPr>
          <w:color w:val="000000"/>
          <w:sz w:val="20"/>
        </w:rPr>
        <w:t>Date: March 16, 2026</w:t>
      </w:r>
    </w:p>
    <w:p>
      <w:pPr>
        <w:pStyle w:val="TextBody"/>
        <w:bidi w:val="0"/>
        <w:jc w:val="left"/>
        <w:rPr>
          <w:color w:val="000000"/>
        </w:rPr>
      </w:pPr>
      <w:r>
        <w:rPr>
          <w:color w:val="000000"/>
        </w:rPr>
        <w:t> </w:t>
      </w:r>
    </w:p>
    <w:p>
      <w:pPr>
        <w:pStyle w:val="TextBody"/>
        <w:bidi w:val="0"/>
        <w:spacing w:before="0" w:after="160"/>
        <w:jc w:val="left"/>
        <w:rPr>
          <w:color w:val="000000"/>
        </w:rPr>
      </w:pPr>
      <w:r>
        <w:rPr>
          <w:color w:val="000000"/>
        </w:rPr>
        <w:t> </w:t>
      </w:r>
    </w:p>
    <w:p>
      <w:pPr>
        <w:pStyle w:val="TextBody"/>
        <w:bidi w:val="0"/>
        <w:spacing w:before="0" w:after="160"/>
        <w:jc w:val="left"/>
        <w:rPr>
          <w:color w:val="000000"/>
        </w:rPr>
      </w:pPr>
      <w:r>
        <w:rPr>
          <w:color w:val="000000"/>
        </w:rPr>
        <w:t> </w:t>
      </w:r>
    </w:p>
    <w:p>
      <w:pPr>
        <w:pStyle w:val="TextBody"/>
        <w:bidi w:val="0"/>
        <w:jc w:val="right"/>
        <w:rPr>
          <w:b/>
          <w:sz w:val="20"/>
        </w:rPr>
      </w:pPr>
      <w:bookmarkStart w:id="24" w:name="exh_101.htm"/>
      <w:bookmarkStart w:id="25" w:name="ksexh_101"/>
      <w:bookmarkEnd w:id="24"/>
      <w:bookmarkEnd w:id="25"/>
      <w:r>
        <w:rPr>
          <w:b/>
          <w:sz w:val="20"/>
        </w:rPr>
        <w:t>Exhibit 10.1</w:t>
      </w:r>
      <w:r>
        <w:br w:type="page"/>
      </w:r>
    </w:p>
    <w:p>
      <w:pPr>
        <w:pStyle w:val="TextBody"/>
        <w:bidi w:val="0"/>
        <w:spacing w:before="0" w:after="283"/>
        <w:jc w:val="left"/>
        <w:rPr/>
      </w:pPr>
      <w:r>
        <w:rPr/>
        <w:t> </w:t>
      </w:r>
    </w:p>
    <w:p>
      <w:pPr>
        <w:pStyle w:val="TextBody"/>
        <w:bidi w:val="0"/>
        <w:spacing w:before="208" w:after="0"/>
        <w:ind w:left="0" w:right="0" w:firstLine="805"/>
        <w:jc w:val="center"/>
        <w:rPr>
          <w:b/>
          <w:sz w:val="48"/>
        </w:rPr>
      </w:pPr>
      <w:r>
        <w:rPr>
          <w:b/>
          <w:sz w:val="48"/>
        </w:rPr>
        <w:t>ISDA</w:t>
      </w:r>
      <w:r>
        <w:rPr>
          <w:b w:val="false"/>
          <w:sz w:val="20"/>
        </w:rPr>
        <w:t>®</w:t>
      </w:r>
    </w:p>
    <w:p>
      <w:pPr>
        <w:pStyle w:val="TextBody"/>
        <w:bidi w:val="0"/>
        <w:spacing w:before="1" w:after="0"/>
        <w:ind w:left="0" w:right="0" w:hanging="0"/>
        <w:jc w:val="center"/>
        <w:rPr>
          <w:sz w:val="20"/>
        </w:rPr>
      </w:pPr>
      <w:r>
        <w:rPr>
          <w:sz w:val="20"/>
        </w:rPr>
        <w:t>International Swaps and Derivatives Association, Inc.</w:t>
      </w:r>
    </w:p>
    <w:p>
      <w:pPr>
        <w:pStyle w:val="TextBody"/>
        <w:bidi w:val="0"/>
        <w:spacing w:before="10" w:after="10"/>
        <w:ind w:left="10" w:right="10" w:hanging="0"/>
        <w:jc w:val="left"/>
        <w:rPr/>
      </w:pPr>
      <w:r>
        <w:rPr/>
        <w:t> </w:t>
      </w:r>
    </w:p>
    <w:p>
      <w:pPr>
        <w:pStyle w:val="TextBody"/>
        <w:bidi w:val="0"/>
        <w:spacing w:before="0" w:after="0"/>
        <w:ind w:left="0" w:right="0" w:hanging="0"/>
        <w:jc w:val="center"/>
        <w:rPr>
          <w:b/>
          <w:sz w:val="48"/>
        </w:rPr>
      </w:pPr>
      <w:r>
        <w:rPr>
          <w:b/>
          <w:sz w:val="48"/>
        </w:rPr>
        <w:t>2002 MASTER AGREEMENT</w:t>
      </w:r>
    </w:p>
    <w:p>
      <w:pPr>
        <w:pStyle w:val="TextBody"/>
        <w:bidi w:val="0"/>
        <w:spacing w:before="0" w:after="283"/>
        <w:jc w:val="left"/>
        <w:rPr/>
      </w:pPr>
      <w:r>
        <w:rPr/>
        <w:t> </w:t>
      </w:r>
    </w:p>
    <w:p>
      <w:pPr>
        <w:pStyle w:val="TextBody"/>
        <w:bidi w:val="0"/>
        <w:spacing w:before="91" w:after="0"/>
        <w:ind w:left="0" w:right="0" w:hanging="0"/>
        <w:jc w:val="center"/>
        <w:rPr>
          <w:sz w:val="20"/>
        </w:rPr>
      </w:pPr>
      <w:r>
        <w:rPr>
          <w:sz w:val="20"/>
        </w:rPr>
        <w:t>10 March 2026</w:t>
      </w:r>
    </w:p>
    <w:p>
      <w:pPr>
        <w:pStyle w:val="TextBody"/>
        <w:bidi w:val="0"/>
        <w:spacing w:before="0" w:after="0"/>
        <w:ind w:left="0" w:right="0" w:hanging="0"/>
        <w:jc w:val="center"/>
        <w:rPr>
          <w:sz w:val="20"/>
        </w:rPr>
      </w:pPr>
      <w:r>
        <w:rPr>
          <w:sz w:val="20"/>
        </w:rPr>
        <w:t>dated as of .....................................................................</w:t>
      </w:r>
    </w:p>
    <w:p>
      <w:pPr>
        <w:pStyle w:val="TextBody"/>
        <w:bidi w:val="0"/>
        <w:spacing w:before="0" w:after="283"/>
        <w:jc w:val="left"/>
        <w:rPr/>
      </w:pPr>
      <w:r>
        <w:rPr/>
        <w:t> </w:t>
      </w:r>
    </w:p>
    <w:p>
      <w:pPr>
        <w:pStyle w:val="TextBody"/>
        <w:bidi w:val="0"/>
        <w:spacing w:before="7" w:after="7"/>
        <w:ind w:left="7" w:right="7" w:hanging="0"/>
        <w:jc w:val="left"/>
        <w:rPr/>
      </w:pPr>
      <w:r>
        <w:rPr/>
        <w:t> </w:t>
      </w:r>
    </w:p>
    <w:p>
      <w:pPr>
        <w:pStyle w:val="TextBody"/>
        <w:bidi w:val="0"/>
        <w:spacing w:before="91" w:after="91"/>
        <w:ind w:left="364" w:right="91" w:hanging="0"/>
        <w:jc w:val="both"/>
        <w:rPr/>
      </w:pPr>
      <w:r>
        <w:rPr/>
        <w:t> </w:t>
      </w:r>
    </w:p>
    <w:tbl>
      <w:tblPr>
        <w:tblW w:w="10515" w:type="dxa"/>
        <w:jc w:val="left"/>
        <w:tblInd w:w="0" w:type="dxa"/>
        <w:tblLayout w:type="fixed"/>
        <w:tblCellMar>
          <w:top w:w="0" w:type="dxa"/>
          <w:left w:w="0" w:type="dxa"/>
          <w:bottom w:w="0" w:type="dxa"/>
          <w:right w:w="0" w:type="dxa"/>
        </w:tblCellMar>
      </w:tblPr>
      <w:tblGrid>
        <w:gridCol w:w="5075"/>
        <w:gridCol w:w="365"/>
        <w:gridCol w:w="5075"/>
      </w:tblGrid>
      <w:tr>
        <w:trPr/>
        <w:tc>
          <w:tcPr>
            <w:tcW w:w="5075" w:type="dxa"/>
            <w:tcBorders/>
            <w:vAlign w:val="center"/>
          </w:tcPr>
          <w:p>
            <w:pPr>
              <w:pStyle w:val="TableContents"/>
              <w:bidi w:val="0"/>
              <w:spacing w:before="0" w:after="283"/>
              <w:ind w:left="0" w:right="0" w:hanging="0"/>
              <w:jc w:val="left"/>
              <w:rPr/>
            </w:pPr>
            <w:r>
              <w:rPr/>
              <w:t>BLOCKCHAIN.COM (BVI) II LTD</w:t>
            </w:r>
          </w:p>
        </w:tc>
        <w:tc>
          <w:tcPr>
            <w:tcW w:w="365"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SONO GROUP N.V.</w:t>
            </w:r>
          </w:p>
        </w:tc>
      </w:tr>
      <w:tr>
        <w:trPr/>
        <w:tc>
          <w:tcPr>
            <w:tcW w:w="5075"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283"/>
              <w:jc w:val="center"/>
              <w:rPr/>
            </w:pPr>
            <w:r>
              <w:rPr/>
              <w:t>and</w:t>
            </w:r>
          </w:p>
        </w:tc>
        <w:tc>
          <w:tcPr>
            <w:tcW w:w="5075" w:type="dxa"/>
            <w:tcBorders/>
            <w:vAlign w:val="center"/>
          </w:tcPr>
          <w:p>
            <w:pPr>
              <w:pStyle w:val="TableContents"/>
              <w:bidi w:val="0"/>
              <w:spacing w:before="0" w:after="283"/>
              <w:jc w:val="left"/>
              <w:rPr/>
            </w:pPr>
            <w:r>
              <w:rPr/>
              <w:t>....................................................................................</w:t>
            </w:r>
          </w:p>
        </w:tc>
      </w:tr>
    </w:tbl>
    <w:p>
      <w:pPr>
        <w:pStyle w:val="TextBody"/>
        <w:bidi w:val="0"/>
        <w:spacing w:before="10" w:after="10"/>
        <w:ind w:left="10" w:right="10" w:hanging="0"/>
        <w:jc w:val="left"/>
        <w:rPr/>
      </w:pPr>
      <w:r>
        <w:rPr/>
        <w:t> </w:t>
      </w:r>
    </w:p>
    <w:p>
      <w:pPr>
        <w:pStyle w:val="TextBody"/>
        <w:bidi w:val="0"/>
        <w:spacing w:before="1" w:after="1"/>
        <w:ind w:left="278" w:right="194" w:hanging="0"/>
        <w:jc w:val="both"/>
        <w:rPr>
          <w:sz w:val="20"/>
        </w:rPr>
      </w:pPr>
      <w:r>
        <w:rPr>
          <w:sz w:val="20"/>
        </w:rPr>
        <w:t>have entered and/or anticipate entering into one or more transactions (each a “Transaction”) that are or will be governed by this 2002 Master Agreement, which includes the schedule (the “Schedule”), and the documents and other confirming evidence (each a “Confirmation”) exchanged between the parties or otherwise effective for the purpose of confirming or evidencing those Transactions. This 2002 Master Agreement and the Schedule are together referred to as this “Master Agreement”.</w:t>
      </w:r>
    </w:p>
    <w:p>
      <w:pPr>
        <w:pStyle w:val="TextBody"/>
        <w:bidi w:val="0"/>
        <w:spacing w:before="8" w:after="8"/>
        <w:ind w:left="8" w:right="8" w:hanging="0"/>
        <w:jc w:val="left"/>
        <w:rPr/>
      </w:pPr>
      <w:r>
        <w:rPr/>
        <w:t> </w:t>
      </w:r>
    </w:p>
    <w:p>
      <w:pPr>
        <w:pStyle w:val="TextBody"/>
        <w:bidi w:val="0"/>
        <w:ind w:left="278" w:right="0" w:hanging="0"/>
        <w:jc w:val="both"/>
        <w:rPr>
          <w:sz w:val="20"/>
        </w:rPr>
      </w:pPr>
      <w:r>
        <w:rPr>
          <w:sz w:val="20"/>
        </w:rPr>
        <w:t>Accordingly, the parties agree as follows:</w:t>
      </w:r>
    </w:p>
    <w:p>
      <w:pPr>
        <w:pStyle w:val="TextBody"/>
        <w:bidi w:val="0"/>
        <w:spacing w:before="1" w:after="1"/>
        <w:ind w:left="1" w:right="1" w:hanging="0"/>
        <w:jc w:val="left"/>
        <w:rPr/>
      </w:pPr>
      <w:r>
        <w:rPr/>
        <w:t> </w:t>
      </w:r>
    </w:p>
    <w:tbl>
      <w:tblPr>
        <w:tblW w:w="5000" w:type="pct"/>
        <w:jc w:val="left"/>
        <w:tblInd w:w="0" w:type="dxa"/>
        <w:tblLayout w:type="fixed"/>
        <w:tblCellMar>
          <w:top w:w="0" w:type="dxa"/>
          <w:left w:w="0" w:type="dxa"/>
          <w:bottom w:w="0" w:type="dxa"/>
          <w:right w:w="0" w:type="dxa"/>
        </w:tblCellMar>
      </w:tblPr>
      <w:tblGrid>
        <w:gridCol w:w="252"/>
        <w:gridCol w:w="1332"/>
        <w:gridCol w:w="8621"/>
      </w:tblGrid>
      <w:tr>
        <w:trPr/>
        <w:tc>
          <w:tcPr>
            <w:tcW w:w="25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pPr>
            <w:r>
              <w:rPr/>
              <w:t>1.</w:t>
            </w:r>
          </w:p>
        </w:tc>
        <w:tc>
          <w:tcPr>
            <w:tcW w:w="8621" w:type="dxa"/>
            <w:tcBorders/>
            <w:vAlign w:val="center"/>
          </w:tcPr>
          <w:p>
            <w:pPr>
              <w:pStyle w:val="TableContents"/>
              <w:bidi w:val="0"/>
              <w:spacing w:before="0" w:after="283"/>
              <w:jc w:val="both"/>
              <w:rPr/>
            </w:pPr>
            <w:r>
              <w:rPr/>
              <w:t>Interpretation</w:t>
            </w:r>
          </w:p>
        </w:tc>
      </w:tr>
    </w:tbl>
    <w:p>
      <w:pPr>
        <w:pStyle w:val="TextBody"/>
        <w:bidi w:val="0"/>
        <w:spacing w:before="1" w:after="1"/>
        <w:ind w:left="1" w:right="1" w:hanging="0"/>
        <w:jc w:val="left"/>
        <w:rPr/>
      </w:pPr>
      <w:r>
        <w:rPr/>
        <w:t> </w:t>
      </w:r>
    </w:p>
    <w:p>
      <w:pPr>
        <w:pStyle w:val="TextBody"/>
        <w:bidi w:val="0"/>
        <w:ind w:left="278" w:right="192" w:hanging="0"/>
        <w:jc w:val="both"/>
        <w:rPr>
          <w:sz w:val="20"/>
        </w:rPr>
      </w:pPr>
      <w:r>
        <w:rPr>
          <w:sz w:val="20"/>
        </w:rPr>
        <w:t xml:space="preserve">(a)             </w:t>
      </w:r>
      <w:r>
        <w:rPr>
          <w:b/>
          <w:i/>
          <w:sz w:val="20"/>
        </w:rPr>
        <w:t xml:space="preserve">Definitions. </w:t>
      </w:r>
      <w:r>
        <w:rPr>
          <w:sz w:val="20"/>
        </w:rPr>
        <w:t>The terms defined in Section 14 and elsewhere in this Master Agreement will have the meanings therein specified for the purpose of this Master Agreement.</w:t>
      </w:r>
    </w:p>
    <w:p>
      <w:pPr>
        <w:pStyle w:val="TextBody"/>
        <w:bidi w:val="0"/>
        <w:spacing w:before="194" w:after="194"/>
        <w:ind w:left="278" w:right="192" w:hanging="0"/>
        <w:jc w:val="both"/>
        <w:rPr>
          <w:sz w:val="20"/>
        </w:rPr>
      </w:pPr>
      <w:r>
        <w:rPr>
          <w:sz w:val="20"/>
        </w:rPr>
        <w:t xml:space="preserve">(b)            </w:t>
      </w:r>
      <w:r>
        <w:rPr>
          <w:b/>
          <w:i/>
          <w:sz w:val="20"/>
        </w:rPr>
        <w:t xml:space="preserve">Inconsistency. </w:t>
      </w:r>
      <w:r>
        <w:rPr>
          <w:sz w:val="20"/>
        </w:rPr>
        <w:t>In the event of any inconsistency between the provisions of the Schedule and the other provisions of this Master Agreement, the Schedule will prevail. In the event of any inconsistency between the provisions of any Confirmation and this Master Agreement, such Confirmation will prevail for the purpose of the</w:t>
      </w:r>
    </w:p>
    <w:p>
      <w:pPr>
        <w:pStyle w:val="TextBody"/>
        <w:bidi w:val="0"/>
        <w:spacing w:before="7" w:after="7"/>
        <w:ind w:left="278" w:right="7" w:hanging="0"/>
        <w:jc w:val="both"/>
        <w:rPr>
          <w:sz w:val="20"/>
        </w:rPr>
      </w:pPr>
      <w:r>
        <w:rPr>
          <w:sz w:val="20"/>
        </w:rPr>
        <w:t>relevant Transaction.</w:t>
      </w:r>
    </w:p>
    <w:p>
      <w:pPr>
        <w:pStyle w:val="TextBody"/>
        <w:bidi w:val="0"/>
        <w:spacing w:before="189" w:after="189"/>
        <w:ind w:left="278" w:right="193" w:hanging="0"/>
        <w:jc w:val="both"/>
        <w:rPr>
          <w:sz w:val="20"/>
        </w:rPr>
      </w:pPr>
      <w:r>
        <w:rPr>
          <w:sz w:val="20"/>
        </w:rPr>
        <w:t xml:space="preserve">(c)             </w:t>
      </w:r>
      <w:r>
        <w:rPr>
          <w:b/>
          <w:i/>
          <w:sz w:val="20"/>
        </w:rPr>
        <w:t xml:space="preserve">Single Agreement. </w:t>
      </w:r>
      <w:r>
        <w:rPr>
          <w:sz w:val="20"/>
        </w:rPr>
        <w:t>All Transactions are entered into in reliance on the fact that this Master Agreement and all Confirmations form a single agreement between the parties (collectively referred to as this “Agreement”), and the parties would not otherwise enter into any Transactions.</w:t>
      </w:r>
    </w:p>
    <w:p>
      <w:pPr>
        <w:pStyle w:val="TextBody"/>
        <w:bidi w:val="0"/>
        <w:spacing w:before="3" w:after="3"/>
        <w:ind w:left="3" w:right="3" w:hanging="0"/>
        <w:jc w:val="left"/>
        <w:rPr/>
      </w:pPr>
      <w:r>
        <w:rPr/>
        <w:t> </w:t>
      </w:r>
    </w:p>
    <w:tbl>
      <w:tblPr>
        <w:tblW w:w="5000" w:type="pct"/>
        <w:jc w:val="left"/>
        <w:tblInd w:w="0" w:type="dxa"/>
        <w:tblLayout w:type="fixed"/>
        <w:tblCellMar>
          <w:top w:w="0" w:type="dxa"/>
          <w:left w:w="0" w:type="dxa"/>
          <w:bottom w:w="0" w:type="dxa"/>
          <w:right w:w="0" w:type="dxa"/>
        </w:tblCellMar>
      </w:tblPr>
      <w:tblGrid>
        <w:gridCol w:w="283"/>
        <w:gridCol w:w="1492"/>
        <w:gridCol w:w="8430"/>
      </w:tblGrid>
      <w:tr>
        <w:trPr/>
        <w:tc>
          <w:tcPr>
            <w:tcW w:w="283"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pPr>
            <w:r>
              <w:rPr/>
              <w:t>2.</w:t>
            </w:r>
          </w:p>
        </w:tc>
        <w:tc>
          <w:tcPr>
            <w:tcW w:w="8430" w:type="dxa"/>
            <w:tcBorders/>
            <w:vAlign w:val="center"/>
          </w:tcPr>
          <w:p>
            <w:pPr>
              <w:pStyle w:val="TableContents"/>
              <w:bidi w:val="0"/>
              <w:spacing w:before="0" w:after="283"/>
              <w:jc w:val="both"/>
              <w:rPr/>
            </w:pPr>
            <w:r>
              <w:rPr/>
              <w:t>Obligations</w:t>
            </w:r>
          </w:p>
        </w:tc>
      </w:tr>
    </w:tbl>
    <w:p>
      <w:pPr>
        <w:pStyle w:val="TextBody"/>
        <w:bidi w:val="0"/>
        <w:spacing w:before="175" w:after="175"/>
        <w:ind w:left="986" w:right="175" w:hanging="709"/>
        <w:jc w:val="both"/>
        <w:rPr>
          <w:b/>
          <w:i/>
          <w:sz w:val="20"/>
        </w:rPr>
      </w:pPr>
      <w:r>
        <w:rPr>
          <w:b w:val="false"/>
          <w:i w:val="false"/>
          <w:caps w:val="false"/>
          <w:smallCaps w:val="false"/>
          <w:sz w:val="20"/>
        </w:rPr>
        <w:t xml:space="preserve">(a)             </w:t>
      </w:r>
      <w:r>
        <w:rPr>
          <w:b/>
          <w:i/>
          <w:sz w:val="20"/>
        </w:rPr>
        <w:t>General Conditions.</w:t>
      </w:r>
    </w:p>
    <w:p>
      <w:pPr>
        <w:pStyle w:val="TextBody"/>
        <w:bidi w:val="0"/>
        <w:spacing w:before="11" w:after="11"/>
        <w:ind w:left="11" w:right="11" w:hanging="0"/>
        <w:jc w:val="left"/>
        <w:rPr/>
      </w:pPr>
      <w:r>
        <w:rPr/>
        <w:t> </w:t>
      </w:r>
    </w:p>
    <w:p>
      <w:pPr>
        <w:pStyle w:val="TextBody"/>
        <w:bidi w:val="0"/>
        <w:ind w:left="986" w:right="194" w:hanging="0"/>
        <w:jc w:val="both"/>
        <w:rPr>
          <w:sz w:val="20"/>
        </w:rPr>
      </w:pPr>
      <w:r>
        <w:rPr>
          <w:sz w:val="20"/>
        </w:rPr>
        <w:t>(i)             Each party will make each payment or delivery specified in each Confirmation to be made by it, subject to the other provisions of this Agreement.</w:t>
      </w:r>
    </w:p>
    <w:p>
      <w:pPr>
        <w:pStyle w:val="TextBody"/>
        <w:bidi w:val="0"/>
        <w:spacing w:before="6" w:after="6"/>
        <w:ind w:left="6" w:right="6" w:hanging="0"/>
        <w:jc w:val="left"/>
        <w:rPr/>
      </w:pPr>
      <w:r>
        <w:rPr/>
        <w:t> </w:t>
      </w:r>
    </w:p>
    <w:p>
      <w:pPr>
        <w:pStyle w:val="TextBody"/>
        <w:bidi w:val="0"/>
        <w:ind w:left="986" w:right="190" w:hanging="0"/>
        <w:jc w:val="both"/>
        <w:rPr>
          <w:sz w:val="20"/>
        </w:rPr>
      </w:pPr>
      <w:r>
        <w:rPr>
          <w:sz w:val="20"/>
        </w:rPr>
        <w:t>(ii)            Payments under this Agreement will be made on the due date for value on that date in the place of the account specified in the relevant Confirmation or otherwise pursuant to this Agreement, in freely transferable funds and in the manner customary for payments in the required currency. Where settlement is by delivery (that is, other than by payment), such delivery will be made for receipt on the due date in the manner customary for the relevant obligation unless otherwise specified in the relevant Confirmation or elsewhere in this Agreement.</w:t>
      </w:r>
    </w:p>
    <w:p>
      <w:pPr>
        <w:pStyle w:val="TextBody"/>
        <w:bidi w:val="0"/>
        <w:spacing w:before="0" w:after="283"/>
        <w:jc w:val="left"/>
        <w:rPr/>
      </w:pPr>
      <w:r>
        <w:rPr/>
        <w:t> </w:t>
      </w:r>
    </w:p>
    <w:p>
      <w:pPr>
        <w:pStyle w:val="TextBody"/>
        <w:bidi w:val="0"/>
        <w:spacing w:before="1" w:after="1"/>
        <w:ind w:left="1" w:right="1" w:hanging="0"/>
        <w:jc w:val="left"/>
        <w:rPr/>
      </w:pPr>
      <w:r>
        <w:rPr/>
        <w:t> </w:t>
      </w:r>
    </w:p>
    <w:p>
      <w:pPr>
        <w:pStyle w:val="TextBody"/>
        <w:bidi w:val="0"/>
        <w:ind w:left="805" w:right="723" w:hanging="0"/>
        <w:jc w:val="center"/>
        <w:rPr>
          <w:sz w:val="16"/>
        </w:rPr>
      </w:pPr>
      <w:r>
        <w:rPr>
          <w:sz w:val="16"/>
        </w:rPr>
        <w:t>Copyright © 2002 by International Swaps and Derivatives Association, Inc.</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ind w:left="986" w:right="193" w:hanging="0"/>
        <w:jc w:val="both"/>
        <w:rPr>
          <w:sz w:val="20"/>
        </w:rPr>
      </w:pPr>
      <w:r>
        <w:rPr>
          <w:sz w:val="20"/>
        </w:rPr>
        <w:t>(iii)           Each obligation of each party under Section 2(a)(i) is subject to (1) the condition precedent that no Event of Default or Potential Event of Default with respect to the other party has occurred and is continuing, (2) the condition precedent that no Early Termination Date in respect of the relevant Transaction has occurred or been effectively designated and (3) each other condition specified in this Agreement to be a condition precedent for the purpose of this Section 2(a)(iii).</w:t>
      </w:r>
    </w:p>
    <w:p>
      <w:pPr>
        <w:pStyle w:val="TextBody"/>
        <w:bidi w:val="0"/>
        <w:spacing w:before="186" w:after="186"/>
        <w:ind w:left="278" w:right="190" w:hanging="0"/>
        <w:jc w:val="both"/>
        <w:rPr>
          <w:sz w:val="20"/>
        </w:rPr>
      </w:pPr>
      <w:r>
        <w:rPr>
          <w:sz w:val="20"/>
        </w:rPr>
        <w:t xml:space="preserve">(b)            </w:t>
      </w:r>
      <w:r>
        <w:rPr>
          <w:b/>
          <w:i/>
          <w:sz w:val="20"/>
        </w:rPr>
        <w:t xml:space="preserve">Change of Account. </w:t>
      </w:r>
      <w:r>
        <w:rPr>
          <w:sz w:val="20"/>
        </w:rPr>
        <w:t>Either party may change its account for receiving a payment or delivery by giving notice to the other party at least five Local Business Days prior to the Scheduled Settlement Date for the payment or delivery to which such change applies unless such other party gives timely notice of a reasonable objection to such</w:t>
      </w:r>
    </w:p>
    <w:p>
      <w:pPr>
        <w:pStyle w:val="TextBody"/>
        <w:bidi w:val="0"/>
        <w:spacing w:before="6" w:after="6"/>
        <w:ind w:left="278" w:right="6" w:hanging="0"/>
        <w:jc w:val="left"/>
        <w:rPr>
          <w:sz w:val="20"/>
        </w:rPr>
      </w:pPr>
      <w:r>
        <w:rPr>
          <w:sz w:val="20"/>
        </w:rPr>
        <w:t>change.</w:t>
      </w:r>
    </w:p>
    <w:tbl>
      <w:tblPr>
        <w:tblW w:w="5000" w:type="pct"/>
        <w:jc w:val="left"/>
        <w:tblInd w:w="0" w:type="dxa"/>
        <w:tblLayout w:type="fixed"/>
        <w:tblCellMar>
          <w:top w:w="0" w:type="dxa"/>
          <w:left w:w="0" w:type="dxa"/>
          <w:bottom w:w="0" w:type="dxa"/>
          <w:right w:w="0" w:type="dxa"/>
        </w:tblCellMar>
      </w:tblPr>
      <w:tblGrid>
        <w:gridCol w:w="52"/>
        <w:gridCol w:w="380"/>
        <w:gridCol w:w="9773"/>
      </w:tblGrid>
      <w:tr>
        <w:trPr/>
        <w:tc>
          <w:tcPr>
            <w:tcW w:w="5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(c)</w:t>
            </w:r>
          </w:p>
        </w:tc>
        <w:tc>
          <w:tcPr>
            <w:tcW w:w="9773" w:type="dxa"/>
            <w:tcBorders/>
            <w:vAlign w:val="center"/>
          </w:tcPr>
          <w:p>
            <w:pPr>
              <w:pStyle w:val="TableContents"/>
              <w:bidi w:val="0"/>
              <w:spacing w:before="0" w:after="283"/>
              <w:jc w:val="both"/>
              <w:rPr/>
            </w:pPr>
            <w:r>
              <w:rPr>
                <w:b/>
                <w:i/>
              </w:rPr>
              <w:t xml:space="preserve">Netting of Payments. </w:t>
            </w:r>
            <w:r>
              <w:rPr/>
              <w:t>If on any date amounts would otherwise be payable:</w:t>
            </w:r>
          </w:p>
        </w:tc>
      </w:tr>
    </w:tbl>
    <w:p>
      <w:pPr>
        <w:pStyle w:val="TextBody"/>
        <w:bidi w:val="0"/>
        <w:spacing w:before="3" w:after="3"/>
        <w:ind w:left="3" w:right="3" w:hanging="0"/>
        <w:jc w:val="left"/>
        <w:rPr/>
      </w:pPr>
      <w:r>
        <w:rPr/>
        <w:t> </w:t>
      </w:r>
    </w:p>
    <w:tbl>
      <w:tblPr>
        <w:tblW w:w="5000" w:type="pct"/>
        <w:jc w:val="left"/>
        <w:tblInd w:w="0" w:type="dxa"/>
        <w:tblLayout w:type="fixed"/>
        <w:tblCellMar>
          <w:top w:w="0" w:type="dxa"/>
          <w:left w:w="0" w:type="dxa"/>
          <w:bottom w:w="0" w:type="dxa"/>
          <w:right w:w="0" w:type="dxa"/>
        </w:tblCellMar>
      </w:tblPr>
      <w:tblGrid>
        <w:gridCol w:w="142"/>
        <w:gridCol w:w="864"/>
        <w:gridCol w:w="9199"/>
      </w:tblGrid>
      <w:tr>
        <w:trPr/>
        <w:tc>
          <w:tcPr>
            <w:tcW w:w="14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pPr>
            <w:r>
              <w:rPr/>
              <w:t>(i)</w:t>
            </w:r>
          </w:p>
        </w:tc>
        <w:tc>
          <w:tcPr>
            <w:tcW w:w="9199" w:type="dxa"/>
            <w:tcBorders/>
            <w:vAlign w:val="center"/>
          </w:tcPr>
          <w:p>
            <w:pPr>
              <w:pStyle w:val="TableContents"/>
              <w:bidi w:val="0"/>
              <w:spacing w:before="0" w:after="283"/>
              <w:jc w:val="both"/>
              <w:rPr/>
            </w:pPr>
            <w:r>
              <w:rPr/>
              <w:t>in the same currency; and</w:t>
            </w:r>
          </w:p>
        </w:tc>
      </w:tr>
    </w:tbl>
    <w:p>
      <w:pPr>
        <w:pStyle w:val="TextBody"/>
        <w:bidi w:val="0"/>
        <w:spacing w:before="10" w:after="10"/>
        <w:ind w:left="10" w:right="10" w:hanging="0"/>
        <w:jc w:val="left"/>
        <w:rPr/>
      </w:pPr>
      <w:r>
        <w:rPr/>
        <w:t> </w:t>
      </w:r>
    </w:p>
    <w:tbl>
      <w:tblPr>
        <w:tblW w:w="5000" w:type="pct"/>
        <w:jc w:val="left"/>
        <w:tblInd w:w="0" w:type="dxa"/>
        <w:tblLayout w:type="fixed"/>
        <w:tblCellMar>
          <w:top w:w="0" w:type="dxa"/>
          <w:left w:w="0" w:type="dxa"/>
          <w:bottom w:w="0" w:type="dxa"/>
          <w:right w:w="0" w:type="dxa"/>
        </w:tblCellMar>
      </w:tblPr>
      <w:tblGrid>
        <w:gridCol w:w="106"/>
        <w:gridCol w:w="815"/>
        <w:gridCol w:w="9284"/>
      </w:tblGrid>
      <w:tr>
        <w:trPr/>
        <w:tc>
          <w:tcPr>
            <w:tcW w:w="10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pPr>
            <w:r>
              <w:rPr/>
              <w:t>(ii)</w:t>
            </w:r>
          </w:p>
        </w:tc>
        <w:tc>
          <w:tcPr>
            <w:tcW w:w="9284" w:type="dxa"/>
            <w:tcBorders/>
            <w:vAlign w:val="center"/>
          </w:tcPr>
          <w:p>
            <w:pPr>
              <w:pStyle w:val="TableContents"/>
              <w:bidi w:val="0"/>
              <w:spacing w:before="0" w:after="283"/>
              <w:jc w:val="both"/>
              <w:rPr/>
            </w:pPr>
            <w:r>
              <w:rPr/>
              <w:t>in respect of the same Transaction,</w:t>
            </w:r>
          </w:p>
        </w:tc>
      </w:tr>
    </w:tbl>
    <w:p>
      <w:pPr>
        <w:pStyle w:val="TextBody"/>
        <w:bidi w:val="0"/>
        <w:spacing w:before="10" w:after="10"/>
        <w:ind w:left="10" w:right="10" w:hanging="0"/>
        <w:jc w:val="left"/>
        <w:rPr/>
      </w:pPr>
      <w:r>
        <w:rPr/>
        <w:t> </w:t>
      </w:r>
    </w:p>
    <w:p>
      <w:pPr>
        <w:pStyle w:val="TextBody"/>
        <w:bidi w:val="0"/>
        <w:ind w:left="278" w:right="192" w:hanging="0"/>
        <w:jc w:val="both"/>
        <w:rPr>
          <w:sz w:val="20"/>
        </w:rPr>
      </w:pPr>
      <w:r>
        <w:rPr>
          <w:sz w:val="20"/>
        </w:rPr>
        <w:t>by each party to the other, then, on such date, each party’s obligation to make payment of any such amount will be automatically satisfied and discharged and, if the aggregate amount that would otherwise have been payable by one party exceeds the aggregate amount that would otherwise have been payable by the other party, replaced by an obligation upon the party by which the larger aggregate amount would have been payable to pay to the other party the excess of the larger aggregate amount over the smaller aggregate amount.</w:t>
      </w:r>
    </w:p>
    <w:p>
      <w:pPr>
        <w:pStyle w:val="TextBody"/>
        <w:bidi w:val="0"/>
        <w:spacing w:before="8" w:after="8"/>
        <w:ind w:left="8" w:right="8" w:hanging="0"/>
        <w:jc w:val="left"/>
        <w:rPr/>
      </w:pPr>
      <w:r>
        <w:rPr/>
        <w:t> </w:t>
      </w:r>
    </w:p>
    <w:p>
      <w:pPr>
        <w:pStyle w:val="TextBody"/>
        <w:bidi w:val="0"/>
        <w:ind w:left="278" w:right="191" w:hanging="0"/>
        <w:jc w:val="both"/>
        <w:rPr>
          <w:sz w:val="20"/>
        </w:rPr>
      </w:pPr>
      <w:r>
        <w:rPr>
          <w:sz w:val="20"/>
        </w:rPr>
        <w:t>The parties may elect in respect of two or more Transactions that a net amount and payment obligation will be determined in respect of all amounts payable on the same date in the same currency in respect of those Transactions, regardless of whether such amounts are payable in respect of the same Transaction. The election may be made in the Schedule or any Confirmation by specifying that “Multiple Transaction Payment Netting” applies to the Transactions identified as being subject to the election (in which case clause (ii) above will not apply to such Transactions). If Multiple Transaction Payment Netting is applicable to Transactions, it will apply to those Transactions with effect from the starting date specified in the Schedule or such Confirmation, or, if a starting date is not specified in the Schedule or such Confirmation, the starting date otherwise agreed by the parties in writing. This election may be made separately for different groups of Transactions and will apply separately to each pairing of Offices through which the parties make and receive payments or deliveries.</w:t>
      </w:r>
    </w:p>
    <w:p>
      <w:pPr>
        <w:pStyle w:val="TextBody"/>
        <w:bidi w:val="0"/>
        <w:spacing w:before="176" w:after="176"/>
        <w:ind w:left="986" w:right="176" w:hanging="709"/>
        <w:jc w:val="both"/>
        <w:rPr>
          <w:b/>
          <w:i/>
          <w:sz w:val="20"/>
        </w:rPr>
      </w:pPr>
      <w:r>
        <w:rPr>
          <w:b w:val="false"/>
          <w:i w:val="false"/>
          <w:caps w:val="false"/>
          <w:smallCaps w:val="false"/>
          <w:sz w:val="20"/>
        </w:rPr>
        <w:t xml:space="preserve">(d)            </w:t>
      </w:r>
      <w:r>
        <w:rPr>
          <w:b/>
          <w:i/>
          <w:sz w:val="20"/>
        </w:rPr>
        <w:t>Deduction or Withholding for Tax.</w:t>
      </w:r>
    </w:p>
    <w:p>
      <w:pPr>
        <w:pStyle w:val="TextBody"/>
        <w:bidi w:val="0"/>
        <w:spacing w:before="148" w:after="148"/>
        <w:ind w:left="986" w:right="190" w:hanging="0"/>
        <w:jc w:val="both"/>
        <w:rPr>
          <w:sz w:val="20"/>
        </w:rPr>
      </w:pPr>
      <w:r>
        <w:rPr>
          <w:sz w:val="20"/>
        </w:rPr>
        <w:t>(i)            </w:t>
      </w:r>
      <w:r>
        <w:rPr>
          <w:b/>
          <w:i/>
          <w:sz w:val="20"/>
        </w:rPr>
        <w:t xml:space="preserve">Gross-Up. </w:t>
      </w:r>
      <w:r>
        <w:rPr>
          <w:sz w:val="20"/>
        </w:rPr>
        <w:t>All payments under this Agreement will be made without any deduction or withholding for or on account of any Tax unless such deduction or withholding is required by any applicable law, as modified by the practice of any relevant governmental revenue authority, then in effect. If a party is so required to deduct or withhold, then that party (“X”) will:</w:t>
      </w:r>
    </w:p>
    <w:p>
      <w:pPr>
        <w:pStyle w:val="TextBody"/>
        <w:bidi w:val="0"/>
        <w:spacing w:before="10" w:after="10"/>
        <w:ind w:left="10" w:right="10" w:hanging="0"/>
        <w:jc w:val="left"/>
        <w:rPr/>
      </w:pPr>
      <w:r>
        <w:rPr/>
        <w:t> </w:t>
      </w:r>
    </w:p>
    <w:tbl>
      <w:tblPr>
        <w:tblW w:w="5000" w:type="pct"/>
        <w:jc w:val="left"/>
        <w:tblInd w:w="0" w:type="dxa"/>
        <w:tblLayout w:type="fixed"/>
        <w:tblCellMar>
          <w:top w:w="0" w:type="dxa"/>
          <w:left w:w="0" w:type="dxa"/>
          <w:bottom w:w="0" w:type="dxa"/>
          <w:right w:w="0" w:type="dxa"/>
        </w:tblCellMar>
      </w:tblPr>
      <w:tblGrid>
        <w:gridCol w:w="66"/>
        <w:gridCol w:w="505"/>
        <w:gridCol w:w="9634"/>
      </w:tblGrid>
      <w:tr>
        <w:trPr/>
        <w:tc>
          <w:tcPr>
            <w:tcW w:w="6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pPr>
            <w:r>
              <w:rPr/>
              <w:t>(1)</w:t>
            </w:r>
          </w:p>
        </w:tc>
        <w:tc>
          <w:tcPr>
            <w:tcW w:w="9634" w:type="dxa"/>
            <w:tcBorders/>
            <w:vAlign w:val="center"/>
          </w:tcPr>
          <w:p>
            <w:pPr>
              <w:pStyle w:val="TableContents"/>
              <w:bidi w:val="0"/>
              <w:spacing w:before="0" w:after="283"/>
              <w:jc w:val="both"/>
              <w:rPr/>
            </w:pPr>
            <w:r>
              <w:rPr/>
              <w:t>promptly notify the other party (“Y”) of such requirement;</w:t>
            </w:r>
          </w:p>
        </w:tc>
      </w:tr>
    </w:tbl>
    <w:p>
      <w:pPr>
        <w:pStyle w:val="TextBody"/>
        <w:bidi w:val="0"/>
        <w:spacing w:before="10" w:after="10"/>
        <w:ind w:left="10" w:right="10" w:hanging="0"/>
        <w:jc w:val="left"/>
        <w:rPr/>
      </w:pPr>
      <w:r>
        <w:rPr/>
        <w:t> </w:t>
      </w:r>
    </w:p>
    <w:p>
      <w:pPr>
        <w:pStyle w:val="TextBody"/>
        <w:bidi w:val="0"/>
        <w:ind w:left="1696" w:right="189" w:hanging="0"/>
        <w:jc w:val="both"/>
        <w:rPr>
          <w:sz w:val="20"/>
        </w:rPr>
      </w:pPr>
      <w:r>
        <w:rPr>
          <w:sz w:val="20"/>
        </w:rPr>
        <w:t>(2)            pay to the relevant authorities the full amount required to be deducted or withheld (including the full amount required to be deducted or withheld from any additional amount paid by X to Y under this Section 2(d)) promptly upon the earlier of determining that such deduction or withholding is required or receiving notice that such amount has been assessed against Y;</w:t>
      </w:r>
    </w:p>
    <w:p>
      <w:pPr>
        <w:pStyle w:val="TextBody"/>
        <w:bidi w:val="0"/>
        <w:spacing w:before="8" w:after="8"/>
        <w:ind w:left="8" w:right="8" w:hanging="0"/>
        <w:jc w:val="left"/>
        <w:rPr/>
      </w:pPr>
      <w:r>
        <w:rPr/>
        <w:t> </w:t>
      </w:r>
    </w:p>
    <w:p>
      <w:pPr>
        <w:pStyle w:val="TextBody"/>
        <w:bidi w:val="0"/>
        <w:ind w:left="1696" w:right="191" w:hanging="0"/>
        <w:jc w:val="both"/>
        <w:rPr>
          <w:sz w:val="20"/>
        </w:rPr>
      </w:pPr>
      <w:r>
        <w:rPr>
          <w:sz w:val="20"/>
        </w:rPr>
        <w:t>(3)            promptly forward to Y an official receipt (or a certified copy), or other documentation reasonably acceptable to Y, evidencing such payment to such authorities; and</w:t>
      </w:r>
    </w:p>
    <w:p>
      <w:pPr>
        <w:pStyle w:val="TextBody"/>
        <w:bidi w:val="0"/>
        <w:ind w:left="1696" w:right="191"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ind w:left="1696" w:right="190" w:hanging="0"/>
        <w:jc w:val="both"/>
        <w:rPr>
          <w:sz w:val="20"/>
        </w:rPr>
      </w:pPr>
      <w:r>
        <w:rPr>
          <w:sz w:val="20"/>
        </w:rPr>
        <w:t>(4)            if such Tax is an Indemnifiable Tax, pay to Y, in addition to the payment to which Y is otherwise entitled under this Agreement, such additional amount as is necessary to ensure that the net amount actually received by Y (free and clear of Indemnifiable Taxes, whether assessed against X or Y) will equal the full amount Y would have received had no such deduction or withholding been required. However, X will not be required to pay any additional amount to Y to the extent that it would not be required to be paid but for:</w:t>
      </w:r>
    </w:p>
    <w:p>
      <w:pPr>
        <w:pStyle w:val="TextBody"/>
        <w:bidi w:val="0"/>
        <w:spacing w:before="9" w:after="9"/>
        <w:ind w:left="9" w:right="9" w:hanging="0"/>
        <w:jc w:val="left"/>
        <w:rPr/>
      </w:pPr>
      <w:r>
        <w:rPr/>
        <w:t> </w:t>
      </w:r>
    </w:p>
    <w:p>
      <w:pPr>
        <w:pStyle w:val="TextBody"/>
        <w:bidi w:val="0"/>
        <w:ind w:left="2404" w:right="193" w:hanging="0"/>
        <w:jc w:val="both"/>
        <w:rPr>
          <w:sz w:val="20"/>
        </w:rPr>
      </w:pPr>
      <w:r>
        <w:rPr>
          <w:sz w:val="20"/>
        </w:rPr>
        <w:t>(A)           the failure by Y to comply with or perform any agreement contained in Section 4(a)(i), 4(a)(iii) or 4(d); or</w:t>
      </w:r>
    </w:p>
    <w:p>
      <w:pPr>
        <w:pStyle w:val="TextBody"/>
        <w:bidi w:val="0"/>
        <w:spacing w:before="6" w:after="6"/>
        <w:ind w:left="6" w:right="6" w:hanging="0"/>
        <w:jc w:val="left"/>
        <w:rPr/>
      </w:pPr>
      <w:r>
        <w:rPr/>
        <w:t> </w:t>
      </w:r>
    </w:p>
    <w:p>
      <w:pPr>
        <w:pStyle w:val="TextBody"/>
        <w:bidi w:val="0"/>
        <w:ind w:left="2404" w:right="190" w:hanging="0"/>
        <w:jc w:val="both"/>
        <w:rPr>
          <w:sz w:val="20"/>
        </w:rPr>
      </w:pPr>
      <w:r>
        <w:rPr>
          <w:sz w:val="20"/>
        </w:rPr>
        <w:t>(B)           the failure of a representation made by Y pursuant to Section 3(f) to be accurate and true unless such failure would not have occurred but for (I) any action taken by a taxing authority, or brought in a court of competent jurisdiction, after a Transaction is entered into (regardless of whether such action is taken or brought with respect to a party to this Agreement) or (II) a Change in Tax Law.</w:t>
      </w:r>
    </w:p>
    <w:p>
      <w:pPr>
        <w:pStyle w:val="TextBody"/>
        <w:bidi w:val="0"/>
        <w:ind w:left="2404" w:right="190" w:hanging="0"/>
        <w:jc w:val="both"/>
        <w:rPr/>
      </w:pPr>
      <w:r>
        <w:rPr/>
        <w:t> </w:t>
      </w:r>
    </w:p>
    <w:p>
      <w:pPr>
        <w:pStyle w:val="TextBody"/>
        <w:bidi w:val="0"/>
        <w:spacing w:before="0" w:after="0"/>
        <w:ind w:left="986" w:right="190" w:hanging="0"/>
        <w:jc w:val="both"/>
        <w:rPr>
          <w:sz w:val="20"/>
        </w:rPr>
      </w:pPr>
      <w:r>
        <w:rPr>
          <w:sz w:val="20"/>
        </w:rPr>
        <w:t>(ii)           </w:t>
      </w:r>
      <w:r>
        <w:rPr>
          <w:b/>
          <w:i/>
          <w:sz w:val="20"/>
        </w:rPr>
        <w:t xml:space="preserve">Liability. </w:t>
      </w:r>
      <w:r>
        <w:rPr>
          <w:sz w:val="20"/>
        </w:rPr>
        <w:t>If:</w:t>
      </w:r>
    </w:p>
    <w:p>
      <w:pPr>
        <w:pStyle w:val="TextBody"/>
        <w:bidi w:val="0"/>
        <w:ind w:left="1696" w:right="193"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(1)</w:t>
            </w:r>
          </w:p>
        </w:tc>
        <w:tc>
          <w:tcPr>
            <w:tcW w:w="9924" w:type="dxa"/>
            <w:tcBorders/>
            <w:vAlign w:val="center"/>
          </w:tcPr>
          <w:p>
            <w:pPr>
              <w:pStyle w:val="TableContents"/>
              <w:bidi w:val="0"/>
              <w:spacing w:before="0" w:after="283"/>
              <w:jc w:val="both"/>
              <w:rPr/>
            </w:pPr>
            <w:r>
              <w:rPr/>
              <w:t>X is required by any applicable law, as modified by the practice of any relevant governmental revenue authority, to make any deduction or withholding in respect of which X would not be required to pay an additional amount to Y under Section 2(d)(i)(4);</w:t>
            </w:r>
          </w:p>
        </w:tc>
      </w:tr>
    </w:tbl>
    <w:p>
      <w:pPr>
        <w:pStyle w:val="TextBody"/>
        <w:bidi w:val="0"/>
        <w:spacing w:before="7" w:after="7"/>
        <w:ind w:left="7" w:right="7" w:hanging="0"/>
        <w:jc w:val="left"/>
        <w:rPr/>
      </w:pPr>
      <w:r>
        <w:rPr/>
        <w:t> </w:t>
      </w:r>
    </w:p>
    <w:tbl>
      <w:tblPr>
        <w:tblW w:w="5000" w:type="pct"/>
        <w:jc w:val="left"/>
        <w:tblInd w:w="0" w:type="dxa"/>
        <w:tblLayout w:type="fixed"/>
        <w:tblCellMar>
          <w:top w:w="0" w:type="dxa"/>
          <w:left w:w="0" w:type="dxa"/>
          <w:bottom w:w="0" w:type="dxa"/>
          <w:right w:w="0" w:type="dxa"/>
        </w:tblCellMar>
      </w:tblPr>
      <w:tblGrid>
        <w:gridCol w:w="97"/>
        <w:gridCol w:w="744"/>
        <w:gridCol w:w="9364"/>
      </w:tblGrid>
      <w:tr>
        <w:trPr/>
        <w:tc>
          <w:tcPr>
            <w:tcW w:w="9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pPr>
            <w:r>
              <w:rPr/>
              <w:t>(2)</w:t>
            </w:r>
          </w:p>
        </w:tc>
        <w:tc>
          <w:tcPr>
            <w:tcW w:w="9364" w:type="dxa"/>
            <w:tcBorders/>
            <w:vAlign w:val="center"/>
          </w:tcPr>
          <w:p>
            <w:pPr>
              <w:pStyle w:val="TableContents"/>
              <w:bidi w:val="0"/>
              <w:spacing w:before="0" w:after="283"/>
              <w:jc w:val="both"/>
              <w:rPr/>
            </w:pPr>
            <w:r>
              <w:rPr/>
              <w:t>X does not so deduct or withhold; and</w:t>
            </w:r>
          </w:p>
        </w:tc>
      </w:tr>
    </w:tbl>
    <w:p>
      <w:pPr>
        <w:pStyle w:val="TextBody"/>
        <w:bidi w:val="0"/>
        <w:spacing w:before="10" w:after="10"/>
        <w:ind w:left="10" w:right="10" w:hanging="0"/>
        <w:jc w:val="left"/>
        <w:rPr/>
      </w:pPr>
      <w:r>
        <w:rPr/>
        <w:t> </w:t>
      </w:r>
    </w:p>
    <w:tbl>
      <w:tblPr>
        <w:tblW w:w="5000" w:type="pct"/>
        <w:jc w:val="left"/>
        <w:tblInd w:w="0" w:type="dxa"/>
        <w:tblLayout w:type="fixed"/>
        <w:tblCellMar>
          <w:top w:w="0" w:type="dxa"/>
          <w:left w:w="0" w:type="dxa"/>
          <w:bottom w:w="0" w:type="dxa"/>
          <w:right w:w="0" w:type="dxa"/>
        </w:tblCellMar>
      </w:tblPr>
      <w:tblGrid>
        <w:gridCol w:w="60"/>
        <w:gridCol w:w="463"/>
        <w:gridCol w:w="9682"/>
      </w:tblGrid>
      <w:tr>
        <w:trPr/>
        <w:tc>
          <w:tcPr>
            <w:tcW w:w="6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pPr>
            <w:r>
              <w:rPr/>
              <w:t>(3)</w:t>
            </w:r>
          </w:p>
        </w:tc>
        <w:tc>
          <w:tcPr>
            <w:tcW w:w="9682" w:type="dxa"/>
            <w:tcBorders/>
            <w:vAlign w:val="center"/>
          </w:tcPr>
          <w:p>
            <w:pPr>
              <w:pStyle w:val="TableContents"/>
              <w:bidi w:val="0"/>
              <w:spacing w:before="0" w:after="283"/>
              <w:jc w:val="both"/>
              <w:rPr/>
            </w:pPr>
            <w:r>
              <w:rPr/>
              <w:t>a liability resulting from such Tax is assessed directly against X,</w:t>
            </w:r>
          </w:p>
        </w:tc>
      </w:tr>
    </w:tbl>
    <w:p>
      <w:pPr>
        <w:pStyle w:val="TextBody"/>
        <w:bidi w:val="0"/>
        <w:spacing w:before="11" w:after="11"/>
        <w:ind w:left="11" w:right="11" w:hanging="0"/>
        <w:jc w:val="left"/>
        <w:rPr/>
      </w:pPr>
      <w:r>
        <w:rPr/>
        <w:t> </w:t>
      </w:r>
    </w:p>
    <w:p>
      <w:pPr>
        <w:pStyle w:val="TextBody"/>
        <w:bidi w:val="0"/>
        <w:ind w:left="986" w:right="189" w:hanging="0"/>
        <w:jc w:val="both"/>
        <w:rPr>
          <w:sz w:val="20"/>
        </w:rPr>
      </w:pPr>
      <w:r>
        <w:rPr>
          <w:sz w:val="20"/>
        </w:rPr>
        <w:t>then, except to the extent Y has satisfied or then satisfies the liability resulting from such Tax, Y will promptly pay to X the amount of such liability (including any related liability for interest, but including any related liability for penalties only if Y has failed to comply with or perform any agreement contained in Section 4(a)(i), 4(a)(iii) or 4(d)).</w:t>
      </w:r>
    </w:p>
    <w:p>
      <w:pPr>
        <w:pStyle w:val="TextBody"/>
        <w:bidi w:val="0"/>
        <w:spacing w:before="10" w:after="10"/>
        <w:ind w:left="10" w:right="10" w:hanging="0"/>
        <w:jc w:val="left"/>
        <w:rPr/>
      </w:pPr>
      <w:r>
        <w:rPr/>
        <w:t> </w:t>
      </w:r>
    </w:p>
    <w:tbl>
      <w:tblPr>
        <w:tblW w:w="5000" w:type="pct"/>
        <w:jc w:val="left"/>
        <w:tblInd w:w="0" w:type="dxa"/>
        <w:tblLayout w:type="fixed"/>
        <w:tblCellMar>
          <w:top w:w="0" w:type="dxa"/>
          <w:left w:w="0" w:type="dxa"/>
          <w:bottom w:w="0" w:type="dxa"/>
          <w:right w:w="0" w:type="dxa"/>
        </w:tblCellMar>
      </w:tblPr>
      <w:tblGrid>
        <w:gridCol w:w="218"/>
        <w:gridCol w:w="1151"/>
        <w:gridCol w:w="8836"/>
      </w:tblGrid>
      <w:tr>
        <w:trPr/>
        <w:tc>
          <w:tcPr>
            <w:tcW w:w="21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pPr>
            <w:r>
              <w:rPr/>
              <w:t>3.</w:t>
            </w:r>
          </w:p>
        </w:tc>
        <w:tc>
          <w:tcPr>
            <w:tcW w:w="8836" w:type="dxa"/>
            <w:tcBorders/>
            <w:vAlign w:val="center"/>
          </w:tcPr>
          <w:p>
            <w:pPr>
              <w:pStyle w:val="TableContents"/>
              <w:bidi w:val="0"/>
              <w:spacing w:before="0" w:after="283"/>
              <w:jc w:val="both"/>
              <w:rPr/>
            </w:pPr>
            <w:r>
              <w:rPr/>
              <w:t>Representations</w:t>
            </w:r>
          </w:p>
        </w:tc>
      </w:tr>
    </w:tbl>
    <w:p>
      <w:pPr>
        <w:pStyle w:val="TextBody"/>
        <w:bidi w:val="0"/>
        <w:spacing w:before="10" w:after="10"/>
        <w:ind w:left="10" w:right="10" w:hanging="0"/>
        <w:jc w:val="left"/>
        <w:rPr/>
      </w:pPr>
      <w:r>
        <w:rPr/>
        <w:t> </w:t>
      </w:r>
    </w:p>
    <w:p>
      <w:pPr>
        <w:pStyle w:val="TextBody"/>
        <w:bidi w:val="0"/>
        <w:ind w:left="278" w:right="188" w:hanging="0"/>
        <w:jc w:val="both"/>
        <w:rPr>
          <w:sz w:val="20"/>
        </w:rPr>
      </w:pPr>
      <w:r>
        <w:rPr>
          <w:sz w:val="20"/>
        </w:rPr>
        <w:t>Each party makes the representations contained in Sections 3(a), 3(b), 3(c), 3(d), 3(e) and 3(f) and, if specified in the Schedule as applying, 3(g) to the other party (which representations will be deemed to be repeated by each party on each date on which a Transaction is entered into and, in the case of the representations in Section 3(f), at all times until the termination of this Agreement). If any “Additional Representation” is specified in the Schedule or any Confirmation as applying, the party or parties specified for such Additional Representation will make and, if applicable, be deemed to repeat such Additional Representation at the time or times specified for such Additional Representation.</w:t>
      </w:r>
    </w:p>
    <w:p>
      <w:pPr>
        <w:pStyle w:val="TextBody"/>
        <w:bidi w:val="0"/>
        <w:ind w:left="278" w:right="188" w:hanging="0"/>
        <w:jc w:val="both"/>
        <w:rPr/>
      </w:pPr>
      <w:r>
        <w:rPr/>
        <w:t> </w:t>
      </w:r>
    </w:p>
    <w:p>
      <w:pPr>
        <w:pStyle w:val="TextBody"/>
        <w:bidi w:val="0"/>
        <w:ind w:left="278" w:right="188" w:hanging="0"/>
        <w:jc w:val="both"/>
        <w:rPr>
          <w:sz w:val="20"/>
        </w:rPr>
      </w:pPr>
      <w:r>
        <w:rPr>
          <w:sz w:val="20"/>
        </w:rPr>
        <w:t xml:space="preserve">(a)             </w:t>
      </w:r>
      <w:r>
        <w:rPr>
          <w:b/>
          <w:i/>
          <w:sz w:val="20"/>
        </w:rPr>
        <w:t>Basic Representations.</w:t>
      </w:r>
    </w:p>
    <w:p>
      <w:pPr>
        <w:pStyle w:val="TextBody"/>
        <w:bidi w:val="0"/>
        <w:spacing w:before="166" w:after="166"/>
        <w:ind w:left="986" w:right="188" w:hanging="0"/>
        <w:jc w:val="both"/>
        <w:rPr>
          <w:sz w:val="20"/>
        </w:rPr>
      </w:pPr>
      <w:r>
        <w:rPr>
          <w:sz w:val="20"/>
        </w:rPr>
        <w:t xml:space="preserve">(i)             </w:t>
      </w:r>
      <w:r>
        <w:rPr>
          <w:b/>
          <w:i/>
          <w:sz w:val="20"/>
        </w:rPr>
        <w:t xml:space="preserve">Status. </w:t>
      </w:r>
      <w:r>
        <w:rPr>
          <w:sz w:val="20"/>
        </w:rPr>
        <w:t>It is duly organised and validly existing under the laws of the jurisdiction of its organisation or incorporation and, if relevant under such laws, in good standing;</w:t>
      </w:r>
    </w:p>
    <w:p>
      <w:pPr>
        <w:pStyle w:val="TextBody"/>
        <w:bidi w:val="0"/>
        <w:spacing w:before="5" w:after="5"/>
        <w:ind w:left="5" w:right="5" w:hanging="0"/>
        <w:jc w:val="left"/>
        <w:rPr/>
      </w:pPr>
      <w:r>
        <w:rPr/>
        <w:t> </w:t>
      </w:r>
    </w:p>
    <w:p>
      <w:pPr>
        <w:pStyle w:val="TextBody"/>
        <w:bidi w:val="0"/>
        <w:ind w:left="986" w:right="191" w:hanging="0"/>
        <w:jc w:val="both"/>
        <w:rPr>
          <w:sz w:val="20"/>
        </w:rPr>
      </w:pPr>
      <w:r>
        <w:rPr>
          <w:sz w:val="20"/>
        </w:rPr>
        <w:t xml:space="preserve">(ii)            </w:t>
      </w:r>
      <w:r>
        <w:rPr>
          <w:b/>
          <w:i/>
          <w:sz w:val="20"/>
        </w:rPr>
        <w:t xml:space="preserve">Powers. </w:t>
      </w:r>
      <w:r>
        <w:rPr>
          <w:sz w:val="20"/>
        </w:rPr>
        <w:t>It has the power to execute this Agreement and any other documentation relating to this Agreement to which it is a party, to deliver this Agreement and any other documentation relating to this Agreement that it is required by this Agreement to deliver and to perform its obligations under this Agreement and any obligations it has under any Credit Support Document to which it is a party and has taken all necessary action to authorise such execution, delivery and performance;</w:t>
      </w:r>
    </w:p>
    <w:p>
      <w:pPr>
        <w:pStyle w:val="TextBody"/>
        <w:bidi w:val="0"/>
        <w:spacing w:before="9" w:after="9"/>
        <w:ind w:left="986" w:right="191"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159" w:after="159"/>
        <w:ind w:left="986" w:right="192" w:hanging="0"/>
        <w:jc w:val="both"/>
        <w:rPr>
          <w:sz w:val="20"/>
        </w:rPr>
      </w:pPr>
      <w:r>
        <w:rPr>
          <w:sz w:val="20"/>
        </w:rPr>
        <w:t xml:space="preserve">(iii)           </w:t>
      </w:r>
      <w:r>
        <w:rPr>
          <w:b/>
          <w:i/>
          <w:sz w:val="20"/>
        </w:rPr>
        <w:t xml:space="preserve">No Violation or Conflict. </w:t>
      </w:r>
      <w:r>
        <w:rPr>
          <w:sz w:val="20"/>
        </w:rPr>
        <w:t>Such execution, delivery and performance do not violate or conflict with any law applicable to it, any provision of its constitutional documents, any order or judgment of any court or other agency of government applicable to it or any of its assets or any contractual restriction binding on or affecting it or any of its assets;</w:t>
      </w:r>
    </w:p>
    <w:p>
      <w:pPr>
        <w:pStyle w:val="TextBody"/>
        <w:bidi w:val="0"/>
        <w:spacing w:before="190" w:after="190"/>
        <w:ind w:left="986" w:right="191" w:hanging="0"/>
        <w:jc w:val="both"/>
        <w:rPr>
          <w:sz w:val="20"/>
        </w:rPr>
      </w:pPr>
      <w:r>
        <w:rPr>
          <w:sz w:val="20"/>
        </w:rPr>
        <w:t xml:space="preserve">(iv)           </w:t>
      </w:r>
      <w:r>
        <w:rPr>
          <w:b/>
          <w:i/>
          <w:sz w:val="20"/>
        </w:rPr>
        <w:t xml:space="preserve">Consents. </w:t>
      </w:r>
      <w:r>
        <w:rPr>
          <w:sz w:val="20"/>
        </w:rPr>
        <w:t>All governmental and other consents that are required to have been obtained by it with respect to this Agreement or any Credit Support Document to which it is a party have been obtained and are in full force and effect and all conditions of any such consents have been complied with; and</w:t>
      </w:r>
    </w:p>
    <w:p>
      <w:pPr>
        <w:pStyle w:val="TextBody"/>
        <w:bidi w:val="0"/>
        <w:spacing w:before="191" w:after="191"/>
        <w:ind w:left="986" w:right="192" w:hanging="0"/>
        <w:jc w:val="both"/>
        <w:rPr>
          <w:sz w:val="20"/>
        </w:rPr>
      </w:pPr>
      <w:r>
        <w:rPr>
          <w:sz w:val="20"/>
        </w:rPr>
        <w:t xml:space="preserve">(v)            </w:t>
      </w:r>
      <w:r>
        <w:rPr>
          <w:b/>
          <w:i/>
          <w:sz w:val="20"/>
        </w:rPr>
        <w:t xml:space="preserve">Obligations Binding. </w:t>
      </w:r>
      <w:r>
        <w:rPr>
          <w:sz w:val="20"/>
        </w:rPr>
        <w:t>Its obligations under this Agreement and any Credit Support Document to which it is a party constitute its legal, valid and binding obligations, enforceable in accordance with their respective terms (subject to applicable bankruptcy, reorganisation, insolvency, moratorium or similar laws affecting creditors’ rights generally and subject, as to enforceability, to equitable principles of general application (regardless of whether enforcement is sought in a proceeding in equity or at law)).</w:t>
      </w:r>
    </w:p>
    <w:p>
      <w:pPr>
        <w:pStyle w:val="TextBody"/>
        <w:bidi w:val="0"/>
        <w:spacing w:before="186" w:after="186"/>
        <w:ind w:left="278" w:right="191" w:hanging="0"/>
        <w:jc w:val="both"/>
        <w:rPr>
          <w:sz w:val="20"/>
        </w:rPr>
      </w:pPr>
      <w:r>
        <w:rPr>
          <w:sz w:val="20"/>
        </w:rPr>
        <w:t xml:space="preserve">(b)            </w:t>
      </w:r>
      <w:r>
        <w:rPr>
          <w:b/>
          <w:i/>
          <w:sz w:val="20"/>
        </w:rPr>
        <w:t xml:space="preserve">Absence of Certain Events. </w:t>
      </w:r>
      <w:r>
        <w:rPr>
          <w:sz w:val="20"/>
        </w:rPr>
        <w:t>No Event of Default or Potential Event of Default or, to its knowledge, Termination Event with respect to it has occurred and is continuing and no such event or circumstance would occur as a result of its entering into or performing its obligations under this Agreement or any Credit Support Document to which it is a party.</w:t>
      </w:r>
    </w:p>
    <w:p>
      <w:pPr>
        <w:pStyle w:val="TextBody"/>
        <w:bidi w:val="0"/>
        <w:spacing w:before="190" w:after="190"/>
        <w:ind w:left="278" w:right="190" w:hanging="0"/>
        <w:jc w:val="both"/>
        <w:rPr>
          <w:sz w:val="20"/>
        </w:rPr>
      </w:pPr>
      <w:r>
        <w:rPr>
          <w:sz w:val="20"/>
        </w:rPr>
        <w:t xml:space="preserve">(c)             </w:t>
      </w:r>
      <w:r>
        <w:rPr>
          <w:b/>
          <w:i/>
          <w:sz w:val="20"/>
        </w:rPr>
        <w:t xml:space="preserve">Absence of Litigation. </w:t>
      </w:r>
      <w:r>
        <w:rPr>
          <w:sz w:val="20"/>
        </w:rPr>
        <w:t>There is not pending or, to its knowledge, threatened against it, any of its Credit Support Providers or any of its applicable Specified Entities any action, suit or proceeding at law or in equity or before any court, tribunal, governmental body, agency or official or any arbitrator that is likely to affect the legality, validity or enforceability against it of this Agreement or any Credit Support Document to which it is a party or its ability to perform its obligations under this Agreement or such Credit Support Document.</w:t>
      </w:r>
    </w:p>
    <w:p>
      <w:pPr>
        <w:pStyle w:val="TextBody"/>
        <w:bidi w:val="0"/>
        <w:spacing w:before="186" w:after="186"/>
        <w:ind w:left="278" w:right="191" w:hanging="0"/>
        <w:jc w:val="both"/>
        <w:rPr>
          <w:sz w:val="20"/>
        </w:rPr>
      </w:pPr>
      <w:r>
        <w:rPr>
          <w:sz w:val="20"/>
        </w:rPr>
        <w:t xml:space="preserve">(d)            </w:t>
      </w:r>
      <w:r>
        <w:rPr>
          <w:b/>
          <w:i/>
          <w:sz w:val="20"/>
        </w:rPr>
        <w:t xml:space="preserve">Accuracy of Specified Information. </w:t>
      </w:r>
      <w:r>
        <w:rPr>
          <w:sz w:val="20"/>
        </w:rPr>
        <w:t>All applicable information that is furnished in writing by or on behalf of it to the other party and is identified for the purpose of this Section 3(d) in the Schedule is, as of the date of the information, true, accurate and complete in every material respect.</w:t>
      </w:r>
    </w:p>
    <w:p>
      <w:pPr>
        <w:pStyle w:val="TextBody"/>
        <w:bidi w:val="0"/>
        <w:spacing w:before="2" w:after="2"/>
        <w:ind w:left="2" w:right="2" w:hanging="0"/>
        <w:jc w:val="left"/>
        <w:rPr/>
      </w:pPr>
      <w:r>
        <w:rPr/>
        <w:t> </w:t>
      </w:r>
    </w:p>
    <w:p>
      <w:pPr>
        <w:pStyle w:val="TextBody"/>
        <w:bidi w:val="0"/>
        <w:ind w:left="278" w:right="194" w:hanging="0"/>
        <w:jc w:val="both"/>
        <w:rPr>
          <w:sz w:val="20"/>
        </w:rPr>
      </w:pPr>
      <w:r>
        <w:rPr>
          <w:sz w:val="20"/>
        </w:rPr>
        <w:t xml:space="preserve">(e)             </w:t>
      </w:r>
      <w:r>
        <w:rPr>
          <w:b/>
          <w:i/>
          <w:sz w:val="20"/>
        </w:rPr>
        <w:t xml:space="preserve">Payer Tax Representation. </w:t>
      </w:r>
      <w:r>
        <w:rPr>
          <w:sz w:val="20"/>
        </w:rPr>
        <w:t>Each representation specified in the Schedule as being made by it for the purpose of this Section 3(e) is accurate and true.</w:t>
      </w:r>
    </w:p>
    <w:p>
      <w:pPr>
        <w:pStyle w:val="TextBody"/>
        <w:bidi w:val="0"/>
        <w:spacing w:before="5" w:after="5"/>
        <w:ind w:left="5" w:right="5" w:hanging="0"/>
        <w:jc w:val="left"/>
        <w:rPr/>
      </w:pPr>
      <w:r>
        <w:rPr/>
        <w:t> </w:t>
      </w:r>
    </w:p>
    <w:p>
      <w:pPr>
        <w:pStyle w:val="TextBody"/>
        <w:bidi w:val="0"/>
        <w:ind w:left="278" w:right="194" w:hanging="0"/>
        <w:jc w:val="both"/>
        <w:rPr>
          <w:sz w:val="20"/>
        </w:rPr>
      </w:pPr>
      <w:r>
        <w:rPr>
          <w:sz w:val="20"/>
        </w:rPr>
        <w:t xml:space="preserve">(f)             </w:t>
      </w:r>
      <w:r>
        <w:rPr>
          <w:b/>
          <w:i/>
          <w:sz w:val="20"/>
        </w:rPr>
        <w:t xml:space="preserve">Payee Tax Representations. </w:t>
      </w:r>
      <w:r>
        <w:rPr>
          <w:sz w:val="20"/>
        </w:rPr>
        <w:t>Each representation specified in the Schedule as being made by it for the purpose of this Section 3(f) is accurate and true.</w:t>
      </w:r>
    </w:p>
    <w:p>
      <w:pPr>
        <w:pStyle w:val="TextBody"/>
        <w:bidi w:val="0"/>
        <w:spacing w:before="5" w:after="5"/>
        <w:ind w:left="5" w:right="5" w:hanging="0"/>
        <w:jc w:val="left"/>
        <w:rPr/>
      </w:pPr>
      <w:r>
        <w:rPr/>
        <w:t> </w:t>
      </w:r>
    </w:p>
    <w:p>
      <w:pPr>
        <w:pStyle w:val="TextBody"/>
        <w:bidi w:val="0"/>
        <w:ind w:left="278" w:right="192" w:hanging="0"/>
        <w:jc w:val="both"/>
        <w:rPr>
          <w:sz w:val="20"/>
        </w:rPr>
      </w:pPr>
      <w:r>
        <w:rPr>
          <w:sz w:val="20"/>
        </w:rPr>
        <w:t xml:space="preserve">(g)            </w:t>
      </w:r>
      <w:r>
        <w:rPr>
          <w:b/>
          <w:i/>
          <w:sz w:val="20"/>
        </w:rPr>
        <w:t xml:space="preserve">No Agency. </w:t>
      </w:r>
      <w:r>
        <w:rPr>
          <w:sz w:val="20"/>
        </w:rPr>
        <w:t>It is entering into this Agreement, including each Transaction, as principal and not as agent of any person or entity.</w:t>
      </w:r>
    </w:p>
    <w:p>
      <w:pPr>
        <w:pStyle w:val="TextBody"/>
        <w:bidi w:val="0"/>
        <w:spacing w:before="5" w:after="5"/>
        <w:ind w:left="5" w:right="5" w:hanging="0"/>
        <w:jc w:val="left"/>
        <w:rPr/>
      </w:pPr>
      <w:r>
        <w:rPr/>
        <w:t> </w:t>
      </w:r>
    </w:p>
    <w:tbl>
      <w:tblPr>
        <w:tblW w:w="5000" w:type="pct"/>
        <w:jc w:val="left"/>
        <w:tblInd w:w="0" w:type="dxa"/>
        <w:tblLayout w:type="fixed"/>
        <w:tblCellMar>
          <w:top w:w="0" w:type="dxa"/>
          <w:left w:w="0" w:type="dxa"/>
          <w:bottom w:w="0" w:type="dxa"/>
          <w:right w:w="0" w:type="dxa"/>
        </w:tblCellMar>
      </w:tblPr>
      <w:tblGrid>
        <w:gridCol w:w="274"/>
        <w:gridCol w:w="1444"/>
        <w:gridCol w:w="8487"/>
      </w:tblGrid>
      <w:tr>
        <w:trPr/>
        <w:tc>
          <w:tcPr>
            <w:tcW w:w="27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pPr>
            <w:r>
              <w:rPr/>
              <w:t>4.</w:t>
            </w:r>
          </w:p>
        </w:tc>
        <w:tc>
          <w:tcPr>
            <w:tcW w:w="8487" w:type="dxa"/>
            <w:tcBorders/>
            <w:vAlign w:val="center"/>
          </w:tcPr>
          <w:p>
            <w:pPr>
              <w:pStyle w:val="TableContents"/>
              <w:bidi w:val="0"/>
              <w:spacing w:before="0" w:after="283"/>
              <w:jc w:val="both"/>
              <w:rPr/>
            </w:pPr>
            <w:r>
              <w:rPr/>
              <w:t>Agreements</w:t>
            </w:r>
          </w:p>
        </w:tc>
      </w:tr>
    </w:tbl>
    <w:p>
      <w:pPr>
        <w:pStyle w:val="TextBody"/>
        <w:bidi w:val="0"/>
        <w:spacing w:before="10" w:after="10"/>
        <w:ind w:left="10" w:right="10" w:hanging="0"/>
        <w:jc w:val="left"/>
        <w:rPr/>
      </w:pPr>
      <w:r>
        <w:rPr/>
        <w:t> </w:t>
      </w:r>
    </w:p>
    <w:p>
      <w:pPr>
        <w:pStyle w:val="TextBody"/>
        <w:bidi w:val="0"/>
        <w:ind w:left="278" w:right="194" w:hanging="0"/>
        <w:jc w:val="both"/>
        <w:rPr>
          <w:sz w:val="20"/>
        </w:rPr>
      </w:pPr>
      <w:r>
        <w:rPr>
          <w:sz w:val="20"/>
        </w:rPr>
        <w:t>Each party agrees with the other that, so long as either party has or may have any obligation under this Agreement or under any Credit Support Document to which it is a party:</w:t>
      </w:r>
    </w:p>
    <w:p>
      <w:pPr>
        <w:pStyle w:val="TextBody"/>
        <w:bidi w:val="0"/>
        <w:spacing w:before="8" w:after="8"/>
        <w:ind w:left="8" w:right="8" w:hanging="0"/>
        <w:jc w:val="left"/>
        <w:rPr/>
      </w:pPr>
      <w:r>
        <w:rPr/>
        <w:t> </w:t>
      </w:r>
    </w:p>
    <w:p>
      <w:pPr>
        <w:pStyle w:val="TextBody"/>
        <w:bidi w:val="0"/>
        <w:ind w:left="278" w:right="192" w:hanging="0"/>
        <w:jc w:val="both"/>
        <w:rPr>
          <w:sz w:val="20"/>
        </w:rPr>
      </w:pPr>
      <w:r>
        <w:rPr>
          <w:sz w:val="20"/>
        </w:rPr>
        <w:t xml:space="preserve">(a)             </w:t>
      </w:r>
      <w:r>
        <w:rPr>
          <w:b/>
          <w:i/>
          <w:sz w:val="20"/>
        </w:rPr>
        <w:t xml:space="preserve">Furnish Specified Information. </w:t>
      </w:r>
      <w:r>
        <w:rPr>
          <w:sz w:val="20"/>
        </w:rPr>
        <w:t>It will deliver to the other party or, in certain cases under clause (iii) below, to such government or taxing authority as the other party reasonably directs:</w:t>
      </w:r>
    </w:p>
    <w:p>
      <w:pPr>
        <w:pStyle w:val="TextBody"/>
        <w:bidi w:val="0"/>
        <w:ind w:left="278" w:right="192" w:hanging="0"/>
        <w:jc w:val="both"/>
        <w:rPr/>
      </w:pPr>
      <w:r>
        <w:rPr/>
        <w:t> </w:t>
      </w:r>
    </w:p>
    <w:tbl>
      <w:tblPr>
        <w:tblW w:w="9978" w:type="dxa"/>
        <w:jc w:val="left"/>
        <w:tblInd w:w="0" w:type="dxa"/>
        <w:tblLayout w:type="fixed"/>
        <w:tblCellMar>
          <w:top w:w="0" w:type="dxa"/>
          <w:left w:w="0" w:type="dxa"/>
          <w:bottom w:w="0" w:type="dxa"/>
          <w:right w:w="0" w:type="dxa"/>
        </w:tblCellMar>
      </w:tblPr>
      <w:tblGrid>
        <w:gridCol w:w="38"/>
        <w:gridCol w:w="230"/>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9710" w:type="dxa"/>
            <w:tcBorders/>
            <w:vAlign w:val="center"/>
          </w:tcPr>
          <w:p>
            <w:pPr>
              <w:pStyle w:val="TableContents"/>
              <w:bidi w:val="0"/>
              <w:spacing w:before="0" w:after="283"/>
              <w:jc w:val="both"/>
              <w:rPr/>
            </w:pPr>
            <w:r>
              <w:rPr/>
              <w:t>any forms, documents or certificates relating to taxation specified in the Schedule or any Confirmation;</w:t>
            </w:r>
          </w:p>
        </w:tc>
      </w:tr>
    </w:tbl>
    <w:p>
      <w:pPr>
        <w:pStyle w:val="TextBody"/>
        <w:bidi w:val="0"/>
        <w:spacing w:before="7" w:after="7"/>
        <w:ind w:left="7" w:right="7" w:hanging="0"/>
        <w:jc w:val="left"/>
        <w:rPr/>
      </w:pPr>
      <w:r>
        <w:rPr/>
        <w:t> </w:t>
      </w:r>
    </w:p>
    <w:tbl>
      <w:tblPr>
        <w:tblW w:w="5000" w:type="pct"/>
        <w:jc w:val="left"/>
        <w:tblInd w:w="0" w:type="dxa"/>
        <w:tblLayout w:type="fixed"/>
        <w:tblCellMar>
          <w:top w:w="0" w:type="dxa"/>
          <w:left w:w="0" w:type="dxa"/>
          <w:bottom w:w="0" w:type="dxa"/>
          <w:right w:w="0" w:type="dxa"/>
        </w:tblCellMar>
      </w:tblPr>
      <w:tblGrid>
        <w:gridCol w:w="53"/>
        <w:gridCol w:w="412"/>
        <w:gridCol w:w="9740"/>
      </w:tblGrid>
      <w:tr>
        <w:trPr/>
        <w:tc>
          <w:tcPr>
            <w:tcW w:w="5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pPr>
            <w:r>
              <w:rPr/>
              <w:t>(ii)</w:t>
            </w:r>
          </w:p>
        </w:tc>
        <w:tc>
          <w:tcPr>
            <w:tcW w:w="9740" w:type="dxa"/>
            <w:tcBorders/>
            <w:vAlign w:val="center"/>
          </w:tcPr>
          <w:p>
            <w:pPr>
              <w:pStyle w:val="TableContents"/>
              <w:bidi w:val="0"/>
              <w:spacing w:before="0" w:after="283"/>
              <w:jc w:val="both"/>
              <w:rPr/>
            </w:pPr>
            <w:r>
              <w:rPr/>
              <w:t>any other documents specified in the Schedule or any Confirmation; and</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ind w:left="986" w:right="190" w:hanging="0"/>
        <w:jc w:val="both"/>
        <w:rPr>
          <w:sz w:val="20"/>
        </w:rPr>
      </w:pPr>
      <w:r>
        <w:rPr>
          <w:sz w:val="20"/>
        </w:rPr>
        <w:t>(iii)          upon reasonable demand by such other party, any form or document that may be required or reasonably requested in writing in order to allow such other party or its Credit Support Provider to make a payment under this Agreement or any applicable Credit Support Document without any deduction or withholding for or on account of any Tax or with such deduction or withholding at a reduced rate (so long as the completion, execution or submission of such form or document would not materially prejudice the legal or commercial position of the party in receipt of such demand), with any such form or document to be accurate and completed in a manner reasonably satisfactory to such other party and to be executed and to be delivered with any reasonably required certification,</w:t>
      </w:r>
    </w:p>
    <w:p>
      <w:pPr>
        <w:pStyle w:val="TextBody"/>
        <w:bidi w:val="0"/>
        <w:spacing w:before="10" w:after="10"/>
        <w:ind w:left="10" w:right="10" w:hanging="0"/>
        <w:jc w:val="left"/>
        <w:rPr/>
      </w:pPr>
      <w:r>
        <w:rPr/>
        <w:t> </w:t>
      </w:r>
    </w:p>
    <w:p>
      <w:pPr>
        <w:pStyle w:val="TextBody"/>
        <w:bidi w:val="0"/>
        <w:ind w:left="278" w:right="190" w:hanging="0"/>
        <w:jc w:val="both"/>
        <w:rPr>
          <w:sz w:val="20"/>
        </w:rPr>
      </w:pPr>
      <w:r>
        <w:rPr>
          <w:sz w:val="20"/>
        </w:rPr>
        <w:t>in each case by the date specified in the Schedule or such Confirmation or, if none is specified, as soon as reasonably practicable.</w:t>
      </w:r>
    </w:p>
    <w:p>
      <w:pPr>
        <w:pStyle w:val="TextBody"/>
        <w:bidi w:val="0"/>
        <w:spacing w:before="186" w:after="186"/>
        <w:ind w:left="278" w:right="190" w:hanging="0"/>
        <w:jc w:val="both"/>
        <w:rPr>
          <w:sz w:val="20"/>
        </w:rPr>
      </w:pPr>
      <w:r>
        <w:rPr>
          <w:sz w:val="20"/>
        </w:rPr>
        <w:t xml:space="preserve">(b)            </w:t>
      </w:r>
      <w:r>
        <w:rPr>
          <w:b/>
          <w:i/>
          <w:sz w:val="20"/>
        </w:rPr>
        <w:t xml:space="preserve">Maintain Authorisations. </w:t>
      </w:r>
      <w:r>
        <w:rPr>
          <w:sz w:val="20"/>
        </w:rPr>
        <w:t>It will use all reasonable efforts to maintain in full force and effect all consents of any governmental or other authority that are required to be obtained by it with respect to this Agreement or any Credit Support Document to which it is a party and will use all reasonable efforts to obtain any that may become</w:t>
      </w:r>
    </w:p>
    <w:p>
      <w:pPr>
        <w:pStyle w:val="TextBody"/>
        <w:bidi w:val="0"/>
        <w:spacing w:before="7" w:after="7"/>
        <w:ind w:left="278" w:right="7" w:hanging="0"/>
        <w:jc w:val="both"/>
        <w:rPr>
          <w:sz w:val="20"/>
        </w:rPr>
      </w:pPr>
      <w:r>
        <w:rPr>
          <w:sz w:val="20"/>
        </w:rPr>
        <w:t>necessary in the future.</w:t>
      </w:r>
    </w:p>
    <w:p>
      <w:pPr>
        <w:pStyle w:val="TextBody"/>
        <w:bidi w:val="0"/>
        <w:spacing w:before="189" w:after="189"/>
        <w:ind w:left="278" w:right="193" w:hanging="0"/>
        <w:jc w:val="both"/>
        <w:rPr>
          <w:sz w:val="20"/>
        </w:rPr>
      </w:pPr>
      <w:r>
        <w:rPr>
          <w:sz w:val="20"/>
        </w:rPr>
        <w:t xml:space="preserve">(c)             </w:t>
      </w:r>
      <w:r>
        <w:rPr>
          <w:b/>
          <w:i/>
          <w:sz w:val="20"/>
        </w:rPr>
        <w:t xml:space="preserve">Comply With Laws. </w:t>
      </w:r>
      <w:r>
        <w:rPr>
          <w:sz w:val="20"/>
        </w:rPr>
        <w:t>It will comply in all material respects with all applicable laws and orders to which it may be subject if failure so to comply would materially impair its ability to perform its obligations under this Agreement or any Credit Support Document to which it is a party.</w:t>
      </w:r>
    </w:p>
    <w:p>
      <w:pPr>
        <w:pStyle w:val="TextBody"/>
        <w:bidi w:val="0"/>
        <w:spacing w:before="2" w:after="2"/>
        <w:ind w:left="2" w:right="2" w:hanging="0"/>
        <w:jc w:val="left"/>
        <w:rPr/>
      </w:pPr>
      <w:r>
        <w:rPr/>
        <w:t> </w:t>
      </w:r>
    </w:p>
    <w:p>
      <w:pPr>
        <w:pStyle w:val="TextBody"/>
        <w:bidi w:val="0"/>
        <w:ind w:left="278" w:right="193" w:hanging="0"/>
        <w:jc w:val="both"/>
        <w:rPr>
          <w:sz w:val="20"/>
        </w:rPr>
      </w:pPr>
      <w:r>
        <w:rPr>
          <w:sz w:val="20"/>
        </w:rPr>
        <w:t xml:space="preserve">(d)            </w:t>
      </w:r>
      <w:r>
        <w:rPr>
          <w:b/>
          <w:i/>
          <w:sz w:val="20"/>
        </w:rPr>
        <w:t xml:space="preserve">Tax Agreement. </w:t>
      </w:r>
      <w:r>
        <w:rPr>
          <w:sz w:val="20"/>
        </w:rPr>
        <w:t>It will give notice of any failure of a representation made by it under Section 3(f) to be accurate and true promptly upon learning of such failure.</w:t>
      </w:r>
    </w:p>
    <w:p>
      <w:pPr>
        <w:pStyle w:val="TextBody"/>
        <w:bidi w:val="0"/>
        <w:spacing w:before="5" w:after="5"/>
        <w:ind w:left="5" w:right="5" w:hanging="0"/>
        <w:jc w:val="left"/>
        <w:rPr/>
      </w:pPr>
      <w:r>
        <w:rPr/>
        <w:t> </w:t>
      </w:r>
    </w:p>
    <w:p>
      <w:pPr>
        <w:pStyle w:val="TextBody"/>
        <w:bidi w:val="0"/>
        <w:ind w:left="278" w:right="191" w:hanging="0"/>
        <w:jc w:val="both"/>
        <w:rPr>
          <w:sz w:val="20"/>
        </w:rPr>
      </w:pPr>
      <w:r>
        <w:rPr>
          <w:sz w:val="20"/>
        </w:rPr>
        <w:t xml:space="preserve">(e)             </w:t>
      </w:r>
      <w:r>
        <w:rPr>
          <w:b/>
          <w:i/>
          <w:sz w:val="20"/>
        </w:rPr>
        <w:t xml:space="preserve">Payment of Stamp Tax. </w:t>
      </w:r>
      <w:r>
        <w:rPr>
          <w:sz w:val="20"/>
        </w:rPr>
        <w:t>Subject to Section 11, it will pay any Stamp Tax levied or imposed upon it or in respect of its execution or performance of this Agreement by a jurisdiction in which it is incorporated, organised, managed and controlled or considered to have its seat, or where an Office through which it is acting for the purpose of this Agreement is located (“Stamp Tax Jurisdiction”), and will indemnify the other party against any Stamp Tax levied or imposed upon the other party or in respect of the other party’s execution or performance of this Agreement by any such Stamp Tax Jurisdiction which is not also a Stamp Tax Jurisdiction with respect to the other party.</w:t>
      </w:r>
    </w:p>
    <w:p>
      <w:pPr>
        <w:pStyle w:val="TextBody"/>
        <w:bidi w:val="0"/>
        <w:spacing w:before="10" w:after="10"/>
        <w:ind w:left="10" w:right="10" w:hanging="0"/>
        <w:jc w:val="left"/>
        <w:rPr/>
      </w:pPr>
      <w:r>
        <w:rPr/>
        <w:t> </w:t>
      </w:r>
    </w:p>
    <w:tbl>
      <w:tblPr>
        <w:tblW w:w="5000" w:type="pct"/>
        <w:jc w:val="left"/>
        <w:tblInd w:w="0" w:type="dxa"/>
        <w:tblLayout w:type="fixed"/>
        <w:tblCellMar>
          <w:top w:w="0" w:type="dxa"/>
          <w:left w:w="0" w:type="dxa"/>
          <w:bottom w:w="0" w:type="dxa"/>
          <w:right w:w="0" w:type="dxa"/>
        </w:tblCellMar>
      </w:tblPr>
      <w:tblGrid>
        <w:gridCol w:w="90"/>
        <w:gridCol w:w="479"/>
        <w:gridCol w:w="9636"/>
      </w:tblGrid>
      <w:tr>
        <w:trPr/>
        <w:tc>
          <w:tcPr>
            <w:tcW w:w="9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pPr>
            <w:r>
              <w:rPr/>
              <w:t>5.</w:t>
            </w:r>
          </w:p>
        </w:tc>
        <w:tc>
          <w:tcPr>
            <w:tcW w:w="9636" w:type="dxa"/>
            <w:tcBorders/>
            <w:vAlign w:val="center"/>
          </w:tcPr>
          <w:p>
            <w:pPr>
              <w:pStyle w:val="TableContents"/>
              <w:bidi w:val="0"/>
              <w:spacing w:before="0" w:after="283"/>
              <w:jc w:val="both"/>
              <w:rPr/>
            </w:pPr>
            <w:r>
              <w:rPr/>
              <w:t>Events of Default and Termination Events</w:t>
            </w:r>
          </w:p>
        </w:tc>
      </w:tr>
    </w:tbl>
    <w:p>
      <w:pPr>
        <w:pStyle w:val="TextBody"/>
        <w:bidi w:val="0"/>
        <w:spacing w:before="190" w:after="190"/>
        <w:ind w:left="278" w:right="194" w:hanging="0"/>
        <w:jc w:val="both"/>
        <w:rPr>
          <w:sz w:val="20"/>
        </w:rPr>
      </w:pPr>
      <w:r>
        <w:rPr>
          <w:sz w:val="20"/>
        </w:rPr>
        <w:t xml:space="preserve">(a)             </w:t>
      </w:r>
      <w:r>
        <w:rPr>
          <w:b/>
          <w:i/>
          <w:sz w:val="20"/>
        </w:rPr>
        <w:t xml:space="preserve">Events of Default. </w:t>
      </w:r>
      <w:r>
        <w:rPr>
          <w:sz w:val="20"/>
        </w:rPr>
        <w:t>The occurrence at any time with respect to a party or, if applicable, any Credit Support Provider of such party or any Specified Entity of such party of any of the following events constitutes (subject to Sections 5(c) and 6(e)(iv)) an event of default (an “Event of Default”) with respect to such party:</w:t>
      </w:r>
    </w:p>
    <w:p>
      <w:pPr>
        <w:pStyle w:val="TextBody"/>
        <w:bidi w:val="0"/>
        <w:spacing w:before="2" w:after="2"/>
        <w:ind w:left="2" w:right="2" w:hanging="0"/>
        <w:jc w:val="left"/>
        <w:rPr/>
      </w:pPr>
      <w:r>
        <w:rPr/>
        <w:t> </w:t>
      </w:r>
    </w:p>
    <w:p>
      <w:pPr>
        <w:pStyle w:val="TextBody"/>
        <w:bidi w:val="0"/>
        <w:ind w:left="986" w:right="192" w:hanging="0"/>
        <w:jc w:val="both"/>
        <w:rPr>
          <w:sz w:val="20"/>
        </w:rPr>
      </w:pPr>
      <w:r>
        <w:rPr>
          <w:sz w:val="20"/>
        </w:rPr>
        <w:t>(i)            </w:t>
      </w:r>
      <w:r>
        <w:rPr>
          <w:b/>
          <w:i/>
          <w:sz w:val="20"/>
        </w:rPr>
        <w:t xml:space="preserve">Failure to Pay or Deliver. </w:t>
      </w:r>
      <w:r>
        <w:rPr>
          <w:sz w:val="20"/>
        </w:rPr>
        <w:t>Failure by the party to make, when due, any payment under this Agreement or delivery under Section 2(a)(i) or 9(h)(i)(2) or (4) required to be made by it if such failure is not remedied on or before the first Local Business Day in the case of any such payment or the first Local Delivery Day in the case of any such delivery after, in each case, notice of such failure is given to the party;</w:t>
      </w:r>
    </w:p>
    <w:tbl>
      <w:tblPr>
        <w:tblW w:w="5000" w:type="pct"/>
        <w:jc w:val="left"/>
        <w:tblInd w:w="0" w:type="dxa"/>
        <w:tblLayout w:type="fixed"/>
        <w:tblCellMar>
          <w:top w:w="0" w:type="dxa"/>
          <w:left w:w="0" w:type="dxa"/>
          <w:bottom w:w="0" w:type="dxa"/>
          <w:right w:w="0" w:type="dxa"/>
        </w:tblCellMar>
      </w:tblPr>
      <w:tblGrid>
        <w:gridCol w:w="75"/>
        <w:gridCol w:w="580"/>
        <w:gridCol w:w="9550"/>
      </w:tblGrid>
      <w:tr>
        <w:trPr/>
        <w:tc>
          <w:tcPr>
            <w:tcW w:w="7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(ii)</w:t>
            </w:r>
          </w:p>
        </w:tc>
        <w:tc>
          <w:tcPr>
            <w:tcW w:w="9550" w:type="dxa"/>
            <w:tcBorders/>
            <w:vAlign w:val="center"/>
          </w:tcPr>
          <w:p>
            <w:pPr>
              <w:pStyle w:val="TableContents"/>
              <w:bidi w:val="0"/>
              <w:spacing w:before="0" w:after="283"/>
              <w:jc w:val="both"/>
              <w:rPr/>
            </w:pPr>
            <w:r>
              <w:rPr/>
              <w:t>Breach of Agreement; Repudiation of Agreement.</w:t>
            </w:r>
          </w:p>
        </w:tc>
      </w:tr>
    </w:tbl>
    <w:p>
      <w:pPr>
        <w:pStyle w:val="TextBody"/>
        <w:bidi w:val="0"/>
        <w:spacing w:before="11" w:after="11"/>
        <w:ind w:left="11" w:right="11" w:hanging="0"/>
        <w:jc w:val="left"/>
        <w:rPr/>
      </w:pPr>
      <w:r>
        <w:rPr/>
        <w:t> </w:t>
      </w:r>
    </w:p>
    <w:p>
      <w:pPr>
        <w:pStyle w:val="TextBody"/>
        <w:bidi w:val="0"/>
        <w:ind w:left="1696" w:right="191" w:hanging="0"/>
        <w:jc w:val="both"/>
        <w:rPr>
          <w:sz w:val="20"/>
        </w:rPr>
      </w:pPr>
      <w:r>
        <w:rPr>
          <w:sz w:val="20"/>
        </w:rPr>
        <w:t>(1)            Failure by the party to comply with or perform any agreement or obligation (other than an obligation to make any payment under this Agreement or delivery under Section 2(a)(i) or 9(h)(i)(2) or (4) or to give notice of a Termination Event or any agreement or obligation under Section 4(a)(i), 4(a)(iii) or 4(d)) to be complied with or performed by the party in accordance with this Agreement if such failure is not remedied within 30 days after notice of such failure is given to the party; or</w:t>
      </w:r>
    </w:p>
    <w:p>
      <w:pPr>
        <w:pStyle w:val="TextBody"/>
        <w:bidi w:val="0"/>
        <w:spacing w:before="8" w:after="8"/>
        <w:ind w:left="8" w:right="8" w:hanging="0"/>
        <w:jc w:val="left"/>
        <w:rPr/>
      </w:pPr>
      <w:r>
        <w:rPr/>
        <w:t> </w:t>
      </w:r>
    </w:p>
    <w:p>
      <w:pPr>
        <w:pStyle w:val="TextBody"/>
        <w:bidi w:val="0"/>
        <w:spacing w:before="1" w:after="1"/>
        <w:ind w:left="1696" w:right="188" w:hanging="0"/>
        <w:jc w:val="both"/>
        <w:rPr>
          <w:sz w:val="20"/>
        </w:rPr>
      </w:pPr>
      <w:r>
        <w:rPr>
          <w:sz w:val="20"/>
        </w:rPr>
        <w:t>(2)            the party disaffirms, disclaims, repudiates or rejects, in whole or in part, or challenges the validity of, this Master Agreement, any Confirmation executed and delivered by that party or any Transaction evidenced by such a Confirmation (or such action is taken by any person or entity appointed or empowered to operate it or act on its behalf);</w:t>
      </w:r>
    </w:p>
    <w:p>
      <w:pPr>
        <w:pStyle w:val="TextBody"/>
        <w:bidi w:val="0"/>
        <w:spacing w:before="1" w:after="1"/>
        <w:ind w:left="1696" w:right="188"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46"/>
        <w:gridCol w:w="1352"/>
        <w:gridCol w:w="8707"/>
      </w:tblGrid>
      <w:tr>
        <w:trPr/>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(iii)</w:t>
            </w:r>
          </w:p>
        </w:tc>
        <w:tc>
          <w:tcPr>
            <w:tcW w:w="8707" w:type="dxa"/>
            <w:tcBorders/>
            <w:vAlign w:val="center"/>
          </w:tcPr>
          <w:p>
            <w:pPr>
              <w:pStyle w:val="TableContents"/>
              <w:bidi w:val="0"/>
              <w:spacing w:before="0" w:after="283"/>
              <w:jc w:val="both"/>
              <w:rPr/>
            </w:pPr>
            <w:r>
              <w:rPr/>
              <w:t>Credit Support Default.</w:t>
            </w:r>
          </w:p>
        </w:tc>
      </w:tr>
    </w:tbl>
    <w:p>
      <w:pPr>
        <w:pStyle w:val="TextBody"/>
        <w:bidi w:val="0"/>
        <w:spacing w:before="11" w:after="11"/>
        <w:ind w:left="11" w:right="11" w:hanging="0"/>
        <w:jc w:val="left"/>
        <w:rPr/>
      </w:pPr>
      <w:r>
        <w:rPr/>
        <w:t> </w:t>
      </w:r>
    </w:p>
    <w:p>
      <w:pPr>
        <w:pStyle w:val="TextBody"/>
        <w:bidi w:val="0"/>
        <w:ind w:left="1696" w:right="190" w:hanging="0"/>
        <w:jc w:val="both"/>
        <w:rPr>
          <w:sz w:val="20"/>
        </w:rPr>
      </w:pPr>
      <w:r>
        <w:rPr>
          <w:sz w:val="20"/>
        </w:rPr>
        <w:t>(1)            Failure by the party or any Credit Support Provider of such party to comply with or perform any agreement or obligation to be complied with or performed by it in accordance with any Credit Support Document if such failure is continuing after any applicable grace period has elapsed;</w:t>
      </w:r>
    </w:p>
    <w:p>
      <w:pPr>
        <w:pStyle w:val="TextBody"/>
        <w:bidi w:val="0"/>
        <w:spacing w:before="7" w:after="7"/>
        <w:ind w:left="7" w:right="7" w:hanging="0"/>
        <w:jc w:val="left"/>
        <w:rPr/>
      </w:pPr>
      <w:r>
        <w:rPr/>
        <w:t> </w:t>
      </w:r>
    </w:p>
    <w:p>
      <w:pPr>
        <w:pStyle w:val="TextBody"/>
        <w:bidi w:val="0"/>
        <w:ind w:left="1696" w:right="192" w:hanging="0"/>
        <w:jc w:val="both"/>
        <w:rPr>
          <w:sz w:val="20"/>
        </w:rPr>
      </w:pPr>
      <w:r>
        <w:rPr>
          <w:sz w:val="20"/>
        </w:rPr>
        <w:t>(2)            the expiration or termination of such Credit Support Document or the failing or ceasing of such Credit Support Document, or any security interest granted by such party or such Credit Support Provider to the other party pursuant to any such Credit Support Document, to be in full force and effect for the purpose of this Agreement (in each case other than in accordance with its terms) prior to the satisfaction of all obligations of such party under each Transaction to which such Credit Support Document relates without the written consent of the other party; or</w:t>
      </w:r>
    </w:p>
    <w:p>
      <w:pPr>
        <w:pStyle w:val="TextBody"/>
        <w:bidi w:val="0"/>
        <w:spacing w:before="9" w:after="9"/>
        <w:ind w:left="9" w:right="9" w:hanging="0"/>
        <w:jc w:val="left"/>
        <w:rPr/>
      </w:pPr>
      <w:r>
        <w:rPr/>
        <w:t> </w:t>
      </w:r>
    </w:p>
    <w:p>
      <w:pPr>
        <w:pStyle w:val="TextBody"/>
        <w:bidi w:val="0"/>
        <w:ind w:left="1696" w:right="194" w:hanging="0"/>
        <w:jc w:val="both"/>
        <w:rPr>
          <w:sz w:val="20"/>
        </w:rPr>
      </w:pPr>
      <w:r>
        <w:rPr>
          <w:sz w:val="20"/>
        </w:rPr>
        <w:t>(3)            the party or such Credit Support Provider disaffirms, disclaims, repudiates or rejects, in whole or in part, or challenges the validity of, such Credit Support Document (or such action is taken by any person or entity appointed or empowered to operate it or act on its behalf);</w:t>
      </w:r>
    </w:p>
    <w:p>
      <w:pPr>
        <w:pStyle w:val="TextBody"/>
        <w:bidi w:val="0"/>
        <w:spacing w:before="187" w:after="187"/>
        <w:ind w:left="986" w:right="192" w:hanging="0"/>
        <w:jc w:val="both"/>
        <w:rPr>
          <w:sz w:val="20"/>
        </w:rPr>
      </w:pPr>
      <w:r>
        <w:rPr>
          <w:sz w:val="20"/>
        </w:rPr>
        <w:t xml:space="preserve">(iv)           </w:t>
      </w:r>
      <w:r>
        <w:rPr>
          <w:b/>
          <w:i/>
          <w:sz w:val="20"/>
        </w:rPr>
        <w:t xml:space="preserve">Misrepresentation. </w:t>
      </w:r>
      <w:r>
        <w:rPr>
          <w:sz w:val="20"/>
        </w:rPr>
        <w:t>A representation (other than a representation under Section 3(e) or 3(f)) made or repeated or deemed to have been made or repeated by the party or any Credit Support Provider of such party in this Agreement or any Credit Support Document proves to have been incorrect or misleading in any material respect when made or repeated or deemed to have been made or repeated;</w:t>
      </w:r>
    </w:p>
    <w:p>
      <w:pPr>
        <w:pStyle w:val="TextBody"/>
        <w:bidi w:val="0"/>
        <w:spacing w:before="1" w:after="1"/>
        <w:ind w:left="1" w:right="1" w:hanging="0"/>
        <w:jc w:val="left"/>
        <w:rPr/>
      </w:pPr>
      <w:r>
        <w:rPr/>
        <w:t> </w:t>
      </w:r>
    </w:p>
    <w:p>
      <w:pPr>
        <w:pStyle w:val="TextBody"/>
        <w:bidi w:val="0"/>
        <w:ind w:left="986" w:right="192" w:hanging="0"/>
        <w:jc w:val="both"/>
        <w:rPr>
          <w:sz w:val="20"/>
        </w:rPr>
      </w:pPr>
      <w:r>
        <w:rPr>
          <w:sz w:val="20"/>
        </w:rPr>
        <w:t xml:space="preserve">(v)            </w:t>
      </w:r>
      <w:r>
        <w:rPr>
          <w:b/>
          <w:i/>
          <w:sz w:val="20"/>
        </w:rPr>
        <w:t xml:space="preserve">Default Under Specified Transaction. </w:t>
      </w:r>
      <w:r>
        <w:rPr>
          <w:sz w:val="20"/>
        </w:rPr>
        <w:t>The party, any Credit Support Provider of such party or any applicable Specified Entity of such party:</w:t>
      </w:r>
    </w:p>
    <w:p>
      <w:pPr>
        <w:pStyle w:val="TextBody"/>
        <w:bidi w:val="0"/>
        <w:spacing w:before="3" w:after="3"/>
        <w:ind w:left="3" w:right="3" w:hanging="0"/>
        <w:jc w:val="left"/>
        <w:rPr/>
      </w:pPr>
      <w:r>
        <w:rPr/>
        <w:t> </w:t>
      </w:r>
    </w:p>
    <w:p>
      <w:pPr>
        <w:pStyle w:val="TextBody"/>
        <w:bidi w:val="0"/>
        <w:ind w:left="1696" w:right="191" w:hanging="0"/>
        <w:jc w:val="both"/>
        <w:rPr>
          <w:sz w:val="20"/>
        </w:rPr>
      </w:pPr>
      <w:r>
        <w:rPr>
          <w:sz w:val="20"/>
        </w:rPr>
        <w:t>(l)             defaults (other than by failing to make a delivery) under a Specified Transaction or any credit support arrangement relating to a Specified Transaction and, after giving effect to any applicable notice requirement or grace period, such default results in a liquidation of, an acceleration of obligations under, or an early termination of, that Specified Transaction;</w:t>
      </w:r>
    </w:p>
    <w:p>
      <w:pPr>
        <w:pStyle w:val="TextBody"/>
        <w:bidi w:val="0"/>
        <w:spacing w:before="7" w:after="7"/>
        <w:ind w:left="7" w:right="7" w:hanging="0"/>
        <w:jc w:val="left"/>
        <w:rPr/>
      </w:pPr>
      <w:r>
        <w:rPr/>
        <w:t> </w:t>
      </w:r>
    </w:p>
    <w:p>
      <w:pPr>
        <w:pStyle w:val="TextBody"/>
        <w:bidi w:val="0"/>
        <w:spacing w:before="1" w:after="1"/>
        <w:ind w:left="1696" w:right="193" w:hanging="0"/>
        <w:jc w:val="both"/>
        <w:rPr>
          <w:sz w:val="20"/>
        </w:rPr>
      </w:pPr>
      <w:r>
        <w:rPr>
          <w:sz w:val="20"/>
        </w:rPr>
        <w:t>(2)            defaults, after giving effect to any applicable notice requirement or grace period, in making any payment due on the last payment or exchange date of, or any payment on early termination of, a Specified Transaction (or, if there is no applicable notice requirement or grace period, such default continues for at least one Local Business Day);</w:t>
      </w:r>
    </w:p>
    <w:p>
      <w:pPr>
        <w:pStyle w:val="TextBody"/>
        <w:bidi w:val="0"/>
        <w:spacing w:before="7" w:after="7"/>
        <w:ind w:left="7" w:right="7" w:hanging="0"/>
        <w:jc w:val="left"/>
        <w:rPr/>
      </w:pPr>
      <w:r>
        <w:rPr/>
        <w:t> </w:t>
      </w:r>
    </w:p>
    <w:p>
      <w:pPr>
        <w:pStyle w:val="TextBody"/>
        <w:bidi w:val="0"/>
        <w:ind w:left="1696" w:right="187" w:hanging="0"/>
        <w:jc w:val="both"/>
        <w:rPr>
          <w:sz w:val="20"/>
        </w:rPr>
      </w:pPr>
      <w:r>
        <w:rPr>
          <w:sz w:val="20"/>
        </w:rPr>
        <w:t>(3)            defaults in making any delivery due under (including any delivery due on the last delivery or exchange date of) a Specified Transaction or any credit support arrangement relating to a Specified Transaction and, after giving effect to any applicable notice requirement or grace period, such default results in a liquidation of, an acceleration of obligations under, or an early termination of, all transactions outstanding under the documentation applicable to that Specified Transaction; or</w:t>
      </w:r>
    </w:p>
    <w:p>
      <w:pPr>
        <w:pStyle w:val="TextBody"/>
        <w:bidi w:val="0"/>
        <w:spacing w:before="8" w:after="8"/>
        <w:ind w:left="8" w:right="8" w:hanging="0"/>
        <w:jc w:val="left"/>
        <w:rPr/>
      </w:pPr>
      <w:r>
        <w:rPr/>
        <w:t> </w:t>
      </w:r>
    </w:p>
    <w:p>
      <w:pPr>
        <w:pStyle w:val="TextBody"/>
        <w:bidi w:val="0"/>
        <w:spacing w:before="1" w:after="1"/>
        <w:ind w:left="1696" w:right="189" w:hanging="0"/>
        <w:jc w:val="both"/>
        <w:rPr>
          <w:sz w:val="20"/>
        </w:rPr>
      </w:pPr>
      <w:r>
        <w:rPr>
          <w:sz w:val="20"/>
        </w:rPr>
        <w:t>(4)            disaffirms, disclaims, repudiates or rejects, in whole or in part, or challenges the validity of, a Specified Transaction or any credit support arrangement relating to a Specified Transaction that is, in either case, confirmed or evidenced by a document or other confirming evidence executed and delivered by that party, Credit Support Provider or Specified Entity (or such action is taken by any person or entity appointed or empowered to operate it or act on its behalf);</w:t>
      </w:r>
    </w:p>
    <w:p>
      <w:pPr>
        <w:pStyle w:val="TextBody"/>
        <w:bidi w:val="0"/>
        <w:spacing w:before="1" w:after="1"/>
        <w:ind w:left="1696" w:right="189"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176" w:after="176"/>
        <w:ind w:left="986" w:right="193" w:hanging="0"/>
        <w:jc w:val="both"/>
        <w:rPr>
          <w:sz w:val="20"/>
        </w:rPr>
      </w:pPr>
      <w:r>
        <w:rPr>
          <w:sz w:val="20"/>
        </w:rPr>
        <w:t>(vi)          </w:t>
      </w:r>
      <w:r>
        <w:rPr>
          <w:b/>
          <w:i/>
          <w:sz w:val="20"/>
        </w:rPr>
        <w:t xml:space="preserve">Cross-Default. </w:t>
      </w:r>
      <w:r>
        <w:rPr>
          <w:sz w:val="20"/>
        </w:rPr>
        <w:t>If “Cross-Default” is specified in the Schedule as applying to the party, the occurrence or existence of:</w:t>
      </w:r>
    </w:p>
    <w:p>
      <w:pPr>
        <w:pStyle w:val="TextBody"/>
        <w:bidi w:val="0"/>
        <w:spacing w:before="3" w:after="3"/>
        <w:ind w:left="3" w:right="3" w:hanging="0"/>
        <w:jc w:val="left"/>
        <w:rPr/>
      </w:pPr>
      <w:r>
        <w:rPr/>
        <w:t> </w:t>
      </w:r>
    </w:p>
    <w:p>
      <w:pPr>
        <w:pStyle w:val="TextBody"/>
        <w:bidi w:val="0"/>
        <w:spacing w:before="1" w:after="1"/>
        <w:ind w:left="1696" w:right="189" w:hanging="0"/>
        <w:jc w:val="both"/>
        <w:rPr>
          <w:sz w:val="20"/>
        </w:rPr>
      </w:pPr>
      <w:r>
        <w:rPr>
          <w:sz w:val="20"/>
        </w:rPr>
        <w:t>(l)             a default, event of default or other similar condition or event (however described) in respect of such party, any Credit Support Provider of such party or any applicable Specified Entity of such party under one or more agreements or instruments relating to Specified Indebtedness of any of them (individually or collectively) where the aggregate principal amount of such agreements or instruments, either alone or together with the amount, if any, referred to in clause (2) below, is not less than the applicable Threshold Amount (as specified in the Schedule) which has resulted in such Specified Indebtedness becoming, or becoming capable at such time of being declared, due and payable under such agreements or instruments before it would otherwise have been due and payable; or</w:t>
      </w:r>
    </w:p>
    <w:p>
      <w:pPr>
        <w:pStyle w:val="TextBody"/>
        <w:bidi w:val="0"/>
        <w:spacing w:before="10" w:after="10"/>
        <w:ind w:left="10" w:right="10" w:hanging="0"/>
        <w:jc w:val="left"/>
        <w:rPr/>
      </w:pPr>
      <w:r>
        <w:rPr/>
        <w:t> </w:t>
      </w:r>
    </w:p>
    <w:p>
      <w:pPr>
        <w:pStyle w:val="TextBody"/>
        <w:bidi w:val="0"/>
        <w:ind w:left="1696" w:right="191" w:hanging="0"/>
        <w:jc w:val="both"/>
        <w:rPr>
          <w:sz w:val="20"/>
        </w:rPr>
      </w:pPr>
      <w:r>
        <w:rPr>
          <w:sz w:val="20"/>
        </w:rPr>
        <w:t>(2)            a default by such party, such Credit Support Provider or such Specified Entity (individually or collectively) in making one or more payments under such agreements or instruments on the due date for payment (after giving effect to any applicable notice requirement or grace period) in an aggregate amount, either alone or together with the amount, if any, referred to in clause (1) above, of not less than the applicable Threshold Amount;</w:t>
      </w:r>
    </w:p>
    <w:p>
      <w:pPr>
        <w:pStyle w:val="TextBody"/>
        <w:bidi w:val="0"/>
        <w:spacing w:before="10" w:after="10"/>
        <w:ind w:left="10" w:right="10" w:hanging="0"/>
        <w:jc w:val="left"/>
        <w:rPr/>
      </w:pPr>
      <w:r>
        <w:rPr/>
        <w:t> </w:t>
      </w:r>
    </w:p>
    <w:p>
      <w:pPr>
        <w:pStyle w:val="TextBody"/>
        <w:bidi w:val="0"/>
        <w:ind w:left="986" w:right="195" w:hanging="0"/>
        <w:jc w:val="both"/>
        <w:rPr>
          <w:sz w:val="20"/>
        </w:rPr>
      </w:pPr>
      <w:r>
        <w:rPr>
          <w:sz w:val="20"/>
        </w:rPr>
        <w:t xml:space="preserve">(vii)         </w:t>
      </w:r>
      <w:r>
        <w:rPr>
          <w:b/>
          <w:i/>
          <w:sz w:val="20"/>
        </w:rPr>
        <w:t xml:space="preserve">Bankruptcy. </w:t>
      </w:r>
      <w:r>
        <w:rPr>
          <w:sz w:val="20"/>
        </w:rPr>
        <w:t>The party, any Credit Support Provider of such party or any applicable Specified Entity of such party:</w:t>
      </w:r>
    </w:p>
    <w:p>
      <w:pPr>
        <w:pStyle w:val="TextBody"/>
        <w:bidi w:val="0"/>
        <w:spacing w:before="3" w:after="3"/>
        <w:ind w:left="3" w:right="3" w:hanging="0"/>
        <w:jc w:val="left"/>
        <w:rPr/>
      </w:pPr>
      <w:r>
        <w:rPr/>
        <w:t> </w:t>
      </w:r>
    </w:p>
    <w:p>
      <w:pPr>
        <w:pStyle w:val="TextBody"/>
        <w:bidi w:val="0"/>
        <w:spacing w:before="1" w:after="1"/>
        <w:ind w:left="1696" w:right="190" w:hanging="0"/>
        <w:jc w:val="both"/>
        <w:rPr>
          <w:sz w:val="20"/>
        </w:rPr>
      </w:pPr>
      <w:r>
        <w:rPr>
          <w:sz w:val="20"/>
        </w:rPr>
        <w:t>(l)             is dissolved (other than pursuant to a consolidation, amalgamation or merger); (2) becomes insolvent or is unable to pay its debts or fails or admits in writing its inability generally to pay its debts as they become due; (3) makes a general assignment, arrangement or composition with or for the benefit of its creditors; (4)(A) 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 or (B) has instituted against it a proceeding seeking a judgment of insolvency or bankruptcy or any other relief under any bankruptcy or insolvency law or other similar law affecting creditors’ rights, or a petition is presented for its winding-up or liquidation, and such proceeding or petition is instituted or presented by a person or entity not described in clause (A) above and either (I) results in a judgment of insolvency or bankruptcy or the entry of an order for relief or the making of an order for its winding-up or liquidation or (II) is not dismissed, discharged, stayed or restrained in each case within 15 days of the institution or presentation thereof; (5) has a resolution passed for its winding-up, official management or liquidation (other than pursuant to a consolidation, amalgamation or merger); (6) seeks or becomes subject to the appointment of an administrator, provisional liquidator, conservator, receiver, trustee, custodian or other similar official for it or for all or substantially all its assets; (7) 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15 days thereafter; (8) causes or is subject to any event with respect to it which, under the applicable laws of any jurisdiction, has an analogous effect to any of the events specified in clauses (l) to (7) above (inclusive); or (9) takes any action in furtherance of, or indicating its consent to, approval of, or acquiescence in, any of the foregoing acts; or</w:t>
      </w:r>
    </w:p>
    <w:p>
      <w:pPr>
        <w:pStyle w:val="TextBody"/>
        <w:bidi w:val="0"/>
        <w:spacing w:before="5" w:after="5"/>
        <w:ind w:left="1696" w:right="189"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159" w:after="159"/>
        <w:ind w:left="986" w:right="193" w:hanging="0"/>
        <w:jc w:val="both"/>
        <w:rPr>
          <w:sz w:val="20"/>
        </w:rPr>
      </w:pPr>
      <w:r>
        <w:rPr>
          <w:sz w:val="20"/>
        </w:rPr>
        <w:t xml:space="preserve">(viii)        </w:t>
      </w:r>
      <w:r>
        <w:rPr>
          <w:b/>
          <w:i/>
          <w:sz w:val="20"/>
        </w:rPr>
        <w:t xml:space="preserve">Merger Without Assumption. </w:t>
      </w:r>
      <w:r>
        <w:rPr>
          <w:sz w:val="20"/>
        </w:rPr>
        <w:t>The party or any Credit Support Provider of such party consolidates or amalgamates with, or merges with or into, or transfers all or substantially all its assets to, or reorganises, reincorporates or reconstitutes into or as, another entity and, at the time of such consolidation,</w:t>
      </w:r>
    </w:p>
    <w:p>
      <w:pPr>
        <w:pStyle w:val="TextBody"/>
        <w:bidi w:val="0"/>
        <w:spacing w:before="6" w:after="6"/>
        <w:ind w:left="986" w:right="6" w:hanging="0"/>
        <w:jc w:val="both"/>
        <w:rPr>
          <w:sz w:val="20"/>
        </w:rPr>
      </w:pPr>
      <w:r>
        <w:rPr>
          <w:sz w:val="20"/>
        </w:rPr>
        <w:t>amalgamation, merger, transfer, reorganisation, reincorporation or reconstitution:</w:t>
      </w:r>
    </w:p>
    <w:p>
      <w:pPr>
        <w:pStyle w:val="TextBody"/>
        <w:bidi w:val="0"/>
        <w:spacing w:before="10" w:after="10"/>
        <w:ind w:left="10" w:right="10" w:hanging="0"/>
        <w:jc w:val="left"/>
        <w:rPr/>
      </w:pPr>
      <w:r>
        <w:rPr/>
        <w:t> </w:t>
      </w:r>
    </w:p>
    <w:p>
      <w:pPr>
        <w:pStyle w:val="TextBody"/>
        <w:bidi w:val="0"/>
        <w:ind w:left="1696" w:right="189" w:hanging="0"/>
        <w:jc w:val="both"/>
        <w:rPr>
          <w:sz w:val="20"/>
        </w:rPr>
      </w:pPr>
      <w:r>
        <w:rPr>
          <w:sz w:val="20"/>
        </w:rPr>
        <w:t>(l)             the resulting, surviving or transferee entity fails to assume all the obligations of such party or such Credit Support Provider under this Agreement or any Credit Support Document to which it or its predecessor was a party; or</w:t>
      </w:r>
    </w:p>
    <w:p>
      <w:pPr>
        <w:pStyle w:val="TextBody"/>
        <w:bidi w:val="0"/>
        <w:spacing w:before="7" w:after="7"/>
        <w:ind w:left="7" w:right="7" w:hanging="0"/>
        <w:jc w:val="left"/>
        <w:rPr/>
      </w:pPr>
      <w:r>
        <w:rPr/>
        <w:t> </w:t>
      </w:r>
    </w:p>
    <w:p>
      <w:pPr>
        <w:pStyle w:val="TextBody"/>
        <w:bidi w:val="0"/>
        <w:ind w:left="1696" w:right="193" w:hanging="0"/>
        <w:jc w:val="both"/>
        <w:rPr>
          <w:sz w:val="20"/>
        </w:rPr>
      </w:pPr>
      <w:r>
        <w:rPr>
          <w:sz w:val="20"/>
        </w:rPr>
        <w:t>(2)             the benefits of any Credit Support Document fail to extend (without the consent of the other party) to the performance by such resulting, surviving or transferee entity of its obligations under this Agreement.</w:t>
      </w:r>
    </w:p>
    <w:p>
      <w:pPr>
        <w:pStyle w:val="TextBody"/>
        <w:bidi w:val="0"/>
        <w:spacing w:before="187" w:after="187"/>
        <w:ind w:left="278" w:right="192" w:hanging="0"/>
        <w:jc w:val="both"/>
        <w:rPr>
          <w:sz w:val="20"/>
        </w:rPr>
      </w:pPr>
      <w:r>
        <w:rPr>
          <w:sz w:val="20"/>
        </w:rPr>
        <w:t xml:space="preserve">(b)            </w:t>
      </w:r>
      <w:r>
        <w:rPr>
          <w:b/>
          <w:i/>
          <w:sz w:val="20"/>
        </w:rPr>
        <w:t xml:space="preserve">Termination Events. </w:t>
      </w:r>
      <w:r>
        <w:rPr>
          <w:sz w:val="20"/>
        </w:rPr>
        <w:t>The occurrence at any time with respect to a party or, if applicable, any Credit Support Provider of such party or any Specified Entity of such party of any event specified below constitutes (subject to Section 5(c)) an Illegality if the event is specified in clause (i) below, a Force Majeure Event if the event is specified in clause (ii) below, a Tax Event if the event is specified in clause (iii) below, a Tax Event Upon Merger if the event is specified in clause (iv) below, and, if specified to be applicable, a Credit Event Upon Merger if the event is specified pursuant to clause (v) below or an Additional Termination Event if the event is specified pursuant to clause (vi) below:</w:t>
      </w:r>
    </w:p>
    <w:p>
      <w:pPr>
        <w:pStyle w:val="TextBody"/>
        <w:bidi w:val="0"/>
        <w:spacing w:before="188" w:after="188"/>
        <w:ind w:left="986" w:right="193" w:hanging="0"/>
        <w:jc w:val="both"/>
        <w:rPr>
          <w:sz w:val="20"/>
        </w:rPr>
      </w:pPr>
      <w:r>
        <w:rPr>
          <w:sz w:val="20"/>
        </w:rPr>
        <w:t xml:space="preserve">(i)             </w:t>
      </w:r>
      <w:r>
        <w:rPr>
          <w:b/>
          <w:i/>
          <w:sz w:val="20"/>
        </w:rPr>
        <w:t xml:space="preserve">Illegality. </w:t>
      </w:r>
      <w:r>
        <w:rPr>
          <w:sz w:val="20"/>
        </w:rPr>
        <w:t>After giving effect to any applicable provision, disruption fallback or remedy specified in, or pursuant to, the relevant Confirmation or elsewhere in this Agreement, due to an event or circumstance (other than any action taken by a party or, if applicable, any Credit Support Provider of such party) occurring after a Transaction is entered into, it becomes unlawful under any applicable law (including without limitation the laws of any country in which payment, delivery or compliance is required by either party or any Credit Support Provider, as the case may be), on any day, or it would be unlawful if the relevant payment, delivery or compliance were required on that day (in each case, other than as a result of a breach by the party of Section 4(b)):</w:t>
      </w:r>
    </w:p>
    <w:p>
      <w:pPr>
        <w:pStyle w:val="TextBody"/>
        <w:bidi w:val="0"/>
        <w:spacing w:before="8" w:after="8"/>
        <w:ind w:left="8" w:right="8" w:hanging="0"/>
        <w:jc w:val="left"/>
        <w:rPr/>
      </w:pPr>
      <w:r>
        <w:rPr/>
        <w:t> </w:t>
      </w:r>
    </w:p>
    <w:p>
      <w:pPr>
        <w:pStyle w:val="TextBody"/>
        <w:bidi w:val="0"/>
        <w:ind w:left="1696" w:right="192" w:hanging="0"/>
        <w:jc w:val="both"/>
        <w:rPr>
          <w:sz w:val="20"/>
        </w:rPr>
      </w:pPr>
      <w:r>
        <w:rPr>
          <w:sz w:val="20"/>
        </w:rPr>
        <w:t>(1)            for the Office through which such party (which will be the Affected Party) makes and receives payments or deliveries with respect to such Transaction to perform any absolute or contingent obligation to make a payment or delivery in respect of such Transaction, to receive a payment or delivery in respect of such Transaction or to comply with any other material provision of this Agreement relating to such Transaction; or</w:t>
      </w:r>
    </w:p>
    <w:p>
      <w:pPr>
        <w:pStyle w:val="TextBody"/>
        <w:bidi w:val="0"/>
        <w:spacing w:before="8" w:after="8"/>
        <w:ind w:left="8" w:right="8" w:hanging="0"/>
        <w:jc w:val="left"/>
        <w:rPr/>
      </w:pPr>
      <w:r>
        <w:rPr/>
        <w:t> </w:t>
      </w:r>
    </w:p>
    <w:p>
      <w:pPr>
        <w:pStyle w:val="TextBody"/>
        <w:bidi w:val="0"/>
        <w:spacing w:before="1" w:after="1"/>
        <w:ind w:left="1696" w:right="191" w:hanging="0"/>
        <w:jc w:val="both"/>
        <w:rPr>
          <w:sz w:val="20"/>
        </w:rPr>
      </w:pPr>
      <w:r>
        <w:rPr>
          <w:sz w:val="20"/>
        </w:rPr>
        <w:t>(2)            for such party or any Credit Support Provider of such party (which will be the Affected Party) to perform any absolute or contingent obligation to make a payment or delivery which such party or Credit Support Provider has under any Credit Support Document relating to such Transaction, to receive a payment or delivery under such Credit Support Document or to comply with any other material provision of such Credit Support Document;</w:t>
      </w:r>
    </w:p>
    <w:p>
      <w:pPr>
        <w:pStyle w:val="TextBody"/>
        <w:bidi w:val="0"/>
        <w:spacing w:before="187" w:after="187"/>
        <w:ind w:left="986" w:right="191" w:hanging="0"/>
        <w:jc w:val="both"/>
        <w:rPr>
          <w:sz w:val="20"/>
        </w:rPr>
      </w:pPr>
      <w:r>
        <w:rPr>
          <w:sz w:val="20"/>
        </w:rPr>
        <w:t xml:space="preserve">(ii)            </w:t>
      </w:r>
      <w:r>
        <w:rPr>
          <w:b/>
          <w:i/>
          <w:sz w:val="20"/>
        </w:rPr>
        <w:t xml:space="preserve">Force Majeure Event. </w:t>
      </w:r>
      <w:r>
        <w:rPr>
          <w:sz w:val="20"/>
        </w:rPr>
        <w:t>After giving effect to any applicable provision, disruption fallback or remedy specified in, or pursuant to, the relevant Confirmation or elsewhere in this Agreement, by reason of force majeure or act of state occurring after a Transaction is entered into, on any day:</w:t>
      </w:r>
    </w:p>
    <w:p>
      <w:pPr>
        <w:pStyle w:val="TextBody"/>
        <w:bidi w:val="0"/>
        <w:spacing w:before="0" w:after="283"/>
        <w:jc w:val="left"/>
        <w:rPr/>
      </w:pPr>
      <w:r>
        <w:rPr/>
        <w:t> </w:t>
      </w:r>
    </w:p>
    <w:p>
      <w:pPr>
        <w:pStyle w:val="TextBody"/>
        <w:bidi w:val="0"/>
        <w:ind w:left="1696" w:right="190" w:hanging="0"/>
        <w:jc w:val="both"/>
        <w:rPr>
          <w:sz w:val="20"/>
        </w:rPr>
      </w:pPr>
      <w:r>
        <w:rPr>
          <w:sz w:val="20"/>
        </w:rPr>
        <w:t>(1)            the Office through which such party (which will be the Affected Party) makes and receives payments or deliveries with respect to such Transaction is prevented from performing any absolute or contingent obligation to make a payment or delivery in respect of such Transaction, from receiving a payment or delivery in respect of such Transaction or from complying with any other material provision of this Agreement relating to such Transaction (or would be so prevented if such payment, delivery or compliance were required on that day), or it becomes impossible or impracticable for such Office so to perform, receive or comply (or it would be impossible or impracticable for such Office so to perform, receive or comply if such payment, delivery or compliance were required on that day); or</w:t>
      </w:r>
    </w:p>
    <w:p>
      <w:pPr>
        <w:pStyle w:val="TextBody"/>
        <w:bidi w:val="0"/>
        <w:ind w:left="1696" w:right="19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7" w:after="7"/>
        <w:ind w:left="7" w:right="7" w:hanging="0"/>
        <w:jc w:val="left"/>
        <w:rPr/>
      </w:pPr>
      <w:r>
        <w:rPr/>
        <w:t> </w:t>
      </w:r>
    </w:p>
    <w:p>
      <w:pPr>
        <w:pStyle w:val="TextBody"/>
        <w:bidi w:val="0"/>
        <w:ind w:left="1696" w:right="189" w:hanging="0"/>
        <w:jc w:val="both"/>
        <w:rPr>
          <w:sz w:val="20"/>
        </w:rPr>
      </w:pPr>
      <w:r>
        <w:rPr>
          <w:sz w:val="20"/>
        </w:rPr>
        <w:t>(2)            such party or any Credit Support Provider of such party (which will be the Affected Party) is prevented from performing any absolute or contingent obligation to make a payment or delivery which such party or Credit Support Provider has under any Credit Support Document relating to such Transaction, from receiving a payment or delivery under such Credit Support Document or from complying with any other material provision of such Credit Support Document (or would be so prevented if such payment, delivery or compliance were required on that day), or it becomes impossible or impracticable for such party or Credit Support Provider so to perform, receive or comply (or it would be impossible or impracticable for such party or Credit Support Provider so to perform, receive or comply if such payment, delivery or compliance were required on that day),</w:t>
      </w:r>
    </w:p>
    <w:p>
      <w:pPr>
        <w:pStyle w:val="TextBody"/>
        <w:bidi w:val="0"/>
        <w:spacing w:before="11" w:after="11"/>
        <w:ind w:left="11" w:right="11" w:hanging="0"/>
        <w:jc w:val="left"/>
        <w:rPr/>
      </w:pPr>
      <w:r>
        <w:rPr/>
        <w:t> </w:t>
      </w:r>
    </w:p>
    <w:p>
      <w:pPr>
        <w:pStyle w:val="TextBody"/>
        <w:bidi w:val="0"/>
        <w:ind w:left="952" w:right="192" w:hanging="0"/>
        <w:jc w:val="both"/>
        <w:rPr>
          <w:sz w:val="20"/>
        </w:rPr>
      </w:pPr>
      <w:r>
        <w:rPr>
          <w:sz w:val="20"/>
        </w:rPr>
        <w:t>so long as the force majeure or act of state is beyond the control of such Office, such party or such Credit Support Provider, as appropriate, and such Office, party or Credit Support Provider could not, after using all reasonable efforts (which will not require such party or Credit Support Provider to incur a loss, other than immaterial, incidental expenses), overcome such prevention, impossibility or impracticability;</w:t>
      </w:r>
    </w:p>
    <w:p>
      <w:pPr>
        <w:pStyle w:val="TextBody"/>
        <w:bidi w:val="0"/>
        <w:spacing w:before="187" w:after="187"/>
        <w:ind w:left="986" w:right="193" w:hanging="0"/>
        <w:jc w:val="both"/>
        <w:rPr>
          <w:sz w:val="20"/>
        </w:rPr>
      </w:pPr>
      <w:r>
        <w:rPr>
          <w:sz w:val="20"/>
        </w:rPr>
        <w:t>(iii)          </w:t>
      </w:r>
      <w:r>
        <w:rPr>
          <w:b/>
          <w:i/>
          <w:sz w:val="20"/>
        </w:rPr>
        <w:t xml:space="preserve">Tax Event. </w:t>
      </w:r>
      <w:r>
        <w:rPr>
          <w:sz w:val="20"/>
        </w:rPr>
        <w:t>Due to (1) any action taken by a taxing authority, or brought in a court of competent jurisdiction, after a Transaction is entered into (regardless of whether such action is taken or brought with respect to a party to this Agreement) or (2) a Change in Tax Law, the party (which will be the Affected Party) will, or there is a substantial likelihood that it will, on the next succeeding Scheduled Settlement Date (A) be required to pay to the other party an additional amount in respect of an Indemnifiable Tax under Section 2(d)(i)(4) (except in respect of interest under Section 9(h)) or (B) receive a payment from which an amount is required to be deducted or withheld for or on account of a Tax (except in respect of interest under Section 9(h)) and no additional amount is required to be paid in respect of such Tax under Section 2(d)(i)(4) (other than by reason of Section 2(d)(i)(4)(A) or (B));</w:t>
      </w:r>
    </w:p>
    <w:p>
      <w:pPr>
        <w:pStyle w:val="TextBody"/>
        <w:bidi w:val="0"/>
        <w:spacing w:before="187" w:after="187"/>
        <w:ind w:left="986" w:right="190" w:hanging="0"/>
        <w:jc w:val="both"/>
        <w:rPr>
          <w:sz w:val="20"/>
        </w:rPr>
      </w:pPr>
      <w:r>
        <w:rPr>
          <w:sz w:val="20"/>
        </w:rPr>
        <w:t>(iv)          </w:t>
      </w:r>
      <w:r>
        <w:rPr>
          <w:b/>
          <w:i/>
          <w:sz w:val="20"/>
        </w:rPr>
        <w:t xml:space="preserve">Tax Event Upon Merger. </w:t>
      </w:r>
      <w:r>
        <w:rPr>
          <w:sz w:val="20"/>
        </w:rPr>
        <w:t>The party (the “Burdened Party”) on the next succeeding Scheduled Settlement Date will either (1) be required to pay an additional amount in respect of an Indemnifiable Tax under Section 2(d)(i)(4) (except in respect of interest under Section 9(h)) or (2) receive a payment from which an amount has been deducted or withheld for or on account of any Tax in respect of which the other party is not required to pay an additional amount (other than by reason of Section 2(d)(i)(4)(A) or (B)), in either case as a result of a party consolidating or amalgamating with, or merging with or into, or transferring all or substantially all its assets (or any substantial part of the assets comprising the business conducted by it as of the date of this Master Agreement) to, or reorganising, reincorporating or reconstituting into or as, another entity (which will be the Affected Party) where such action does not constitute a Merger Without Assumption;</w:t>
      </w:r>
    </w:p>
    <w:p>
      <w:pPr>
        <w:pStyle w:val="TextBody"/>
        <w:bidi w:val="0"/>
        <w:spacing w:before="189" w:after="189"/>
        <w:ind w:left="986" w:right="191" w:hanging="0"/>
        <w:jc w:val="both"/>
        <w:rPr>
          <w:sz w:val="20"/>
        </w:rPr>
      </w:pPr>
      <w:r>
        <w:rPr>
          <w:sz w:val="20"/>
        </w:rPr>
        <w:t>(v)           </w:t>
      </w:r>
      <w:r>
        <w:rPr>
          <w:b/>
          <w:i/>
          <w:sz w:val="20"/>
        </w:rPr>
        <w:t xml:space="preserve">Credit Event Upon Merger. </w:t>
      </w:r>
      <w:r>
        <w:rPr>
          <w:sz w:val="20"/>
        </w:rPr>
        <w:t>If “Credit Event Upon Merger” is specified in the Schedule as applying to the party, a Designated Event (as defined below) occurs with respect to such party, any Credit Support Provider of such party or any applicable Specified Entity of such party (in each case, “X”) and such Designated Event does not constitute a Merger Without Assumption, and the creditworthiness of X or, if applicable, the successor, surviving or transferee entity of X, after taking into account any applicable Credit Support Document, is materially weaker immediately after the occurrence of such Designated Event than that of X immediately prior to the occurrence of such Designated Event (and, in any such event, such party or its successor, surviving or transferee entity, as appropriate, will be the Affected Party). A “Designated Event” with respect to X means that:</w:t>
      </w:r>
    </w:p>
    <w:p>
      <w:pPr>
        <w:pStyle w:val="TextBody"/>
        <w:bidi w:val="0"/>
        <w:spacing w:before="9" w:after="9"/>
        <w:ind w:left="9" w:right="9" w:hanging="0"/>
        <w:jc w:val="left"/>
        <w:rPr/>
      </w:pPr>
      <w:r>
        <w:rPr/>
        <w:t> </w:t>
      </w:r>
    </w:p>
    <w:p>
      <w:pPr>
        <w:pStyle w:val="TextBody"/>
        <w:bidi w:val="0"/>
        <w:ind w:left="1696" w:right="187" w:hanging="0"/>
        <w:jc w:val="both"/>
        <w:rPr>
          <w:sz w:val="20"/>
        </w:rPr>
      </w:pPr>
      <w:r>
        <w:rPr>
          <w:sz w:val="20"/>
        </w:rPr>
        <w:t>(1)            X consolidates or amalgamates with, or merges with or into, or transfers all or substantially all its assets (or any substantial part of the assets comprising the business conducted by X as of the date of this Master Agreement) to, or reorganises, reincorporates or reconstitutes into or as, another entity;</w:t>
      </w:r>
    </w:p>
    <w:p>
      <w:pPr>
        <w:pStyle w:val="TextBody"/>
        <w:bidi w:val="0"/>
        <w:ind w:left="1696" w:right="187"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6" w:after="6"/>
        <w:ind w:left="6" w:right="6" w:hanging="0"/>
        <w:jc w:val="left"/>
        <w:rPr/>
      </w:pPr>
      <w:r>
        <w:rPr/>
        <w:t> </w:t>
      </w:r>
    </w:p>
    <w:p>
      <w:pPr>
        <w:pStyle w:val="TextBody"/>
        <w:bidi w:val="0"/>
        <w:spacing w:before="1" w:after="1"/>
        <w:ind w:left="1696" w:right="194" w:hanging="0"/>
        <w:jc w:val="both"/>
        <w:rPr>
          <w:sz w:val="20"/>
        </w:rPr>
      </w:pPr>
      <w:r>
        <w:rPr>
          <w:sz w:val="20"/>
        </w:rPr>
        <w:t>(2)            any person, related group of persons or entity acquires directly or indirectly the beneficial ownership of (A) equity securities having the power to elect a majority of the board of directors (or its equivalent) of X or (B) any other ownership interest enabling it to exercise control of X; or</w:t>
      </w:r>
    </w:p>
    <w:p>
      <w:pPr>
        <w:pStyle w:val="TextBody"/>
        <w:bidi w:val="0"/>
        <w:spacing w:before="6" w:after="6"/>
        <w:ind w:left="6" w:right="6" w:hanging="0"/>
        <w:jc w:val="left"/>
        <w:rPr/>
      </w:pPr>
      <w:r>
        <w:rPr/>
        <w:t> </w:t>
      </w:r>
    </w:p>
    <w:p>
      <w:pPr>
        <w:pStyle w:val="TextBody"/>
        <w:bidi w:val="0"/>
        <w:spacing w:before="1" w:after="1"/>
        <w:ind w:left="1696" w:right="191" w:hanging="0"/>
        <w:jc w:val="both"/>
        <w:rPr>
          <w:sz w:val="20"/>
        </w:rPr>
      </w:pPr>
      <w:r>
        <w:rPr>
          <w:sz w:val="20"/>
        </w:rPr>
        <w:t>(3)            X effects any substantial change in its capital structure by means of the issuance, incurrence or guarantee of debt or the issuance of (A) preferred stock or other securities convertible into or exchangeable for debt or preferred stock or (B) in the case of entities other than corporations, any other form of ownership interest; or</w:t>
      </w:r>
    </w:p>
    <w:p>
      <w:pPr>
        <w:pStyle w:val="TextBody"/>
        <w:bidi w:val="0"/>
        <w:spacing w:before="187" w:after="187"/>
        <w:ind w:left="986" w:right="192" w:hanging="0"/>
        <w:jc w:val="both"/>
        <w:rPr>
          <w:sz w:val="20"/>
        </w:rPr>
      </w:pPr>
      <w:r>
        <w:rPr>
          <w:sz w:val="20"/>
        </w:rPr>
        <w:t xml:space="preserve">(vi)           </w:t>
      </w:r>
      <w:r>
        <w:rPr>
          <w:b/>
          <w:i/>
          <w:sz w:val="20"/>
        </w:rPr>
        <w:t xml:space="preserve">Additional Termination Event. </w:t>
      </w:r>
      <w:r>
        <w:rPr>
          <w:sz w:val="20"/>
        </w:rPr>
        <w:t>If any “Additional Termination Event” is specified in the Schedule or any Confirmation as applying, the occurrence of such event (and, in such event, the Affected Party or Affected Parties will be as specified for such Additional Termination Event in the Schedule or such</w:t>
      </w:r>
    </w:p>
    <w:p>
      <w:pPr>
        <w:pStyle w:val="TextBody"/>
        <w:bidi w:val="0"/>
        <w:spacing w:before="6" w:after="6"/>
        <w:ind w:left="986" w:right="6" w:hanging="0"/>
        <w:jc w:val="left"/>
        <w:rPr>
          <w:sz w:val="20"/>
        </w:rPr>
      </w:pPr>
      <w:r>
        <w:rPr>
          <w:sz w:val="20"/>
        </w:rPr>
        <w:t>Confirmation).</w:t>
      </w:r>
    </w:p>
    <w:p>
      <w:pPr>
        <w:pStyle w:val="TextBody"/>
        <w:bidi w:val="0"/>
        <w:spacing w:before="175" w:after="175"/>
        <w:ind w:left="986" w:right="175" w:hanging="709"/>
        <w:jc w:val="both"/>
        <w:rPr>
          <w:b/>
          <w:i/>
          <w:sz w:val="20"/>
        </w:rPr>
      </w:pPr>
      <w:r>
        <w:rPr>
          <w:b w:val="false"/>
          <w:i w:val="false"/>
          <w:caps w:val="false"/>
          <w:smallCaps w:val="false"/>
          <w:sz w:val="20"/>
        </w:rPr>
        <w:t>(c)            </w:t>
      </w:r>
      <w:r>
        <w:rPr>
          <w:b/>
          <w:i/>
          <w:sz w:val="20"/>
        </w:rPr>
        <w:t>Hierarchy of Events.</w:t>
      </w:r>
    </w:p>
    <w:p>
      <w:pPr>
        <w:pStyle w:val="TextBody"/>
        <w:bidi w:val="0"/>
        <w:spacing w:before="11" w:after="11"/>
        <w:ind w:left="11" w:right="11" w:hanging="0"/>
        <w:jc w:val="left"/>
        <w:rPr/>
      </w:pPr>
      <w:r>
        <w:rPr/>
        <w:t> </w:t>
      </w:r>
    </w:p>
    <w:p>
      <w:pPr>
        <w:pStyle w:val="TextBody"/>
        <w:bidi w:val="0"/>
        <w:ind w:left="986" w:right="191" w:hanging="0"/>
        <w:jc w:val="both"/>
        <w:rPr>
          <w:sz w:val="20"/>
        </w:rPr>
      </w:pPr>
      <w:r>
        <w:rPr>
          <w:sz w:val="20"/>
        </w:rPr>
        <w:t>(i)            An event or circumstance that constitutes or gives rise to an Illegality or a Force Majeure Event will not, for so long as that is the case, also constitute or give rise to an Event of Default under Section 5(a)(i), 5(a)(ii)(1) or 5(a)(iii)(1) insofar as such event or circumstance relates to the failure to make any payment or delivery or a failure to comply with any other material provision of this Agreement or a Credit Support Document, as the case may be.</w:t>
      </w:r>
    </w:p>
    <w:p>
      <w:pPr>
        <w:pStyle w:val="TextBody"/>
        <w:bidi w:val="0"/>
        <w:spacing w:before="8" w:after="8"/>
        <w:ind w:left="8" w:right="8" w:hanging="0"/>
        <w:jc w:val="left"/>
        <w:rPr/>
      </w:pPr>
      <w:r>
        <w:rPr/>
        <w:t> </w:t>
      </w:r>
    </w:p>
    <w:p>
      <w:pPr>
        <w:pStyle w:val="TextBody"/>
        <w:bidi w:val="0"/>
        <w:ind w:left="986" w:right="190" w:hanging="0"/>
        <w:jc w:val="both"/>
        <w:rPr>
          <w:sz w:val="20"/>
        </w:rPr>
      </w:pPr>
      <w:r>
        <w:rPr>
          <w:sz w:val="20"/>
        </w:rPr>
        <w:t>(ii)           Except in circumstances contemplated by clause (i) above, if an event or circumstance which would otherwise constitute or give rise to an Illegality or a Force Majeure Event also constitutes an Event of Default or any other Termination Event, it will be treated as an Event of Default or such other Termination Event, as the case may be, and will not constitute or give rise to an Illegality or a Force Majeure Event.</w:t>
      </w:r>
    </w:p>
    <w:p>
      <w:pPr>
        <w:pStyle w:val="TextBody"/>
        <w:bidi w:val="0"/>
        <w:spacing w:before="8" w:after="8"/>
        <w:ind w:left="8" w:right="8" w:hanging="0"/>
        <w:jc w:val="left"/>
        <w:rPr/>
      </w:pPr>
      <w:r>
        <w:rPr/>
        <w:t> </w:t>
      </w:r>
    </w:p>
    <w:p>
      <w:pPr>
        <w:pStyle w:val="TextBody"/>
        <w:bidi w:val="0"/>
        <w:ind w:left="986" w:right="192" w:hanging="0"/>
        <w:jc w:val="both"/>
        <w:rPr>
          <w:sz w:val="20"/>
        </w:rPr>
      </w:pPr>
      <w:r>
        <w:rPr>
          <w:sz w:val="20"/>
        </w:rPr>
        <w:t>(iii)          If an event or circumstance which would otherwise constitute or give rise to a Force Majeure Event also constitutes an Illegality, it will be treated as an Illegality, except as described in clause (ii) above, and not a Force Majeure Event.</w:t>
      </w:r>
    </w:p>
    <w:p>
      <w:pPr>
        <w:pStyle w:val="TextBody"/>
        <w:bidi w:val="0"/>
        <w:spacing w:before="187" w:after="187"/>
        <w:ind w:left="278" w:right="193" w:hanging="0"/>
        <w:jc w:val="both"/>
        <w:rPr>
          <w:sz w:val="20"/>
        </w:rPr>
      </w:pPr>
      <w:r>
        <w:rPr>
          <w:sz w:val="20"/>
        </w:rPr>
        <w:t xml:space="preserve">(d)            </w:t>
      </w:r>
      <w:r>
        <w:rPr>
          <w:b/>
          <w:i/>
          <w:sz w:val="20"/>
        </w:rPr>
        <w:t xml:space="preserve">Deferral of Payments and Deliveries During Waiting Period. </w:t>
      </w:r>
      <w:r>
        <w:rPr>
          <w:sz w:val="20"/>
        </w:rPr>
        <w:t>If an Illegality or a Force Majeure Event has occurred and is continuing with respect to a Transaction, each payment or delivery which would otherwise be required to be made under that Transaction will be deferred to, and will not be due until:</w:t>
      </w:r>
    </w:p>
    <w:p>
      <w:pPr>
        <w:pStyle w:val="TextBody"/>
        <w:bidi w:val="0"/>
        <w:spacing w:before="0" w:after="283"/>
        <w:jc w:val="left"/>
        <w:rPr/>
      </w:pPr>
      <w:r>
        <w:rPr/>
        <w:t> </w:t>
      </w:r>
    </w:p>
    <w:p>
      <w:pPr>
        <w:pStyle w:val="TextBody"/>
        <w:bidi w:val="0"/>
        <w:ind w:left="986" w:right="192" w:hanging="0"/>
        <w:jc w:val="both"/>
        <w:rPr>
          <w:sz w:val="20"/>
        </w:rPr>
      </w:pPr>
      <w:r>
        <w:rPr>
          <w:sz w:val="20"/>
        </w:rPr>
        <w:t>(i)             the first Local Business Day or, in the case of a delivery, the first Local Delivery Day (or the first day that would have been a Local Business Day or Local Delivery Day, as appropriate, but for the occurrence of the event or circumstance constituting or giving rise to that Illegality or Force Majeure Event) following the end of any applicable Waiting Period in respect of that Illegality or Force Majeure Event, as the case may be; or</w:t>
      </w:r>
    </w:p>
    <w:p>
      <w:pPr>
        <w:pStyle w:val="TextBody"/>
        <w:bidi w:val="0"/>
        <w:spacing w:before="8" w:after="8"/>
        <w:ind w:left="8" w:right="8" w:hanging="0"/>
        <w:jc w:val="left"/>
        <w:rPr/>
      </w:pPr>
      <w:r>
        <w:rPr/>
        <w:t> </w:t>
      </w:r>
    </w:p>
    <w:p>
      <w:pPr>
        <w:pStyle w:val="TextBody"/>
        <w:bidi w:val="0"/>
        <w:ind w:left="986" w:right="193" w:hanging="0"/>
        <w:jc w:val="both"/>
        <w:rPr>
          <w:sz w:val="20"/>
        </w:rPr>
      </w:pPr>
      <w:r>
        <w:rPr>
          <w:sz w:val="20"/>
        </w:rPr>
        <w:t>(ii)            if earlier, the date on which the event or circumstance constituting or giving rise to that Illegality or Force Majeure Event ceases to exist or, if such date is not a Local Business Day or, in the case of a delivery, a Local Delivery Day, the first following day that is a Local Business Day or Local Delivery Day, as appropriate.</w:t>
      </w:r>
    </w:p>
    <w:p>
      <w:pPr>
        <w:pStyle w:val="TextBody"/>
        <w:bidi w:val="0"/>
        <w:spacing w:before="187" w:after="187"/>
        <w:ind w:left="278" w:right="193" w:hanging="0"/>
        <w:jc w:val="both"/>
        <w:rPr>
          <w:sz w:val="20"/>
        </w:rPr>
      </w:pPr>
      <w:r>
        <w:rPr>
          <w:sz w:val="20"/>
        </w:rPr>
        <w:t xml:space="preserve">(e)             </w:t>
      </w:r>
      <w:r>
        <w:rPr>
          <w:b/>
          <w:i/>
          <w:sz w:val="20"/>
        </w:rPr>
        <w:t xml:space="preserve">Inability of Head or Home Office to Perform Obligations of Branch. </w:t>
      </w:r>
      <w:r>
        <w:rPr>
          <w:sz w:val="20"/>
        </w:rPr>
        <w:t>If (i) an Illegality or a Force Majeure Event occurs under Section 5(b)(i)(1) or 5(b)(ii)(1) and the relevant Office is not the Affected Party’s head or home office, (ii) Section 10(a) applies, (iii) the other party seeks performance of the relevant obligation or compliance with the relevant provision by the Affected Party’s head or home office and (iv) the Affected Party’s head or home office fails so to perform or comply due to the occurrence of an event or circumstance which would, if that head or home office were the Office through which the Affected Party makes and receives payments and deliveries with respect to the relevant Transaction, constitute or give rise to an Illegality or a Force Majeure Event, and such failure would otherwise constitute an Event of Default under Section 5(a)(i) or 5(a)(iii)(1) with respect to such party, then, for so long as the relevant event or circumstance continues to exist with respect to both the Office referred to in Section 5(b)(i)(1) or 5(b)(ii)(1), as the case may be, and the Affected Party’s head or home office, such failure will not constitute an Event of Default under Section 5(a)(i) or 5(a)(iii)(1).</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00"/>
        <w:gridCol w:w="529"/>
        <w:gridCol w:w="9576"/>
      </w:tblGrid>
      <w:tr>
        <w:trPr/>
        <w:tc>
          <w:tcPr>
            <w:tcW w:w="10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pPr>
            <w:r>
              <w:rPr/>
              <w:t>6.</w:t>
            </w:r>
          </w:p>
        </w:tc>
        <w:tc>
          <w:tcPr>
            <w:tcW w:w="9576" w:type="dxa"/>
            <w:tcBorders/>
            <w:vAlign w:val="center"/>
          </w:tcPr>
          <w:p>
            <w:pPr>
              <w:pStyle w:val="TableContents"/>
              <w:bidi w:val="0"/>
              <w:spacing w:before="0" w:after="283"/>
              <w:jc w:val="both"/>
              <w:rPr/>
            </w:pPr>
            <w:r>
              <w:rPr/>
              <w:t>Early Termination; Close-Out Netting</w:t>
            </w:r>
          </w:p>
        </w:tc>
      </w:tr>
    </w:tbl>
    <w:p>
      <w:pPr>
        <w:pStyle w:val="TextBody"/>
        <w:bidi w:val="0"/>
        <w:spacing w:before="190" w:after="190"/>
        <w:ind w:left="278" w:right="189" w:hanging="0"/>
        <w:jc w:val="both"/>
        <w:rPr>
          <w:sz w:val="20"/>
        </w:rPr>
      </w:pPr>
      <w:r>
        <w:rPr>
          <w:sz w:val="20"/>
        </w:rPr>
        <w:t xml:space="preserve">(a)             </w:t>
      </w:r>
      <w:r>
        <w:rPr>
          <w:b/>
          <w:i/>
          <w:sz w:val="20"/>
        </w:rPr>
        <w:t xml:space="preserve">Right to Terminate Following Event of Default. </w:t>
      </w:r>
      <w:r>
        <w:rPr>
          <w:sz w:val="20"/>
        </w:rPr>
        <w:t>If at any time an Event of Default with respect to a party (the “Defaulting Party”) has occurred and is then continuing, the other party (the “Non-defaulting Party”) may, by not more than 20 days notice to the Defaulting Party specifying the relevant Event of Default, designate a day not earlier than the day such notice is effective as an Early Termination Date in respect of all outstanding Transactions. If, however, “Automatic Early Termination” is specified in the Schedule as applying to a party, then an Early Termination Date in respect of all outstanding Transactions will occur immediately upon the occurrence with respect to such party of an Event of Default specified in Section 5(a)(vii)(1), (3), (5), (6) or, to the extent analogous thereto, (8), and as of the time immediately preceding the institution of the relevant proceeding or the presentation of the relevant petition upon the occurrence with respect to such party of an Event of Default specified in Section 5(a)(vii)(4) or, to the extent analogous thereto, (8).</w:t>
      </w:r>
    </w:p>
    <w:p>
      <w:pPr>
        <w:pStyle w:val="TextBody"/>
        <w:bidi w:val="0"/>
        <w:spacing w:before="174" w:after="174"/>
        <w:ind w:left="986" w:right="174" w:hanging="709"/>
        <w:jc w:val="both"/>
        <w:rPr>
          <w:b/>
          <w:i/>
          <w:sz w:val="20"/>
        </w:rPr>
      </w:pPr>
      <w:r>
        <w:rPr>
          <w:b w:val="false"/>
          <w:i w:val="false"/>
          <w:caps w:val="false"/>
          <w:smallCaps w:val="false"/>
          <w:sz w:val="20"/>
        </w:rPr>
        <w:t xml:space="preserve">(b)            </w:t>
      </w:r>
      <w:r>
        <w:rPr>
          <w:b/>
          <w:i/>
          <w:sz w:val="20"/>
        </w:rPr>
        <w:t>Right to Terminate Following Termination Event.</w:t>
      </w:r>
    </w:p>
    <w:p>
      <w:pPr>
        <w:pStyle w:val="TextBody"/>
        <w:bidi w:val="0"/>
        <w:spacing w:before="166" w:after="166"/>
        <w:ind w:left="986" w:right="192" w:hanging="0"/>
        <w:jc w:val="both"/>
        <w:rPr>
          <w:sz w:val="20"/>
        </w:rPr>
      </w:pPr>
      <w:r>
        <w:rPr>
          <w:sz w:val="20"/>
        </w:rPr>
        <w:t>(i)            </w:t>
      </w:r>
      <w:r>
        <w:rPr>
          <w:b/>
          <w:i/>
          <w:sz w:val="20"/>
        </w:rPr>
        <w:t xml:space="preserve">Notice. </w:t>
      </w:r>
      <w:r>
        <w:rPr>
          <w:sz w:val="20"/>
        </w:rPr>
        <w:t>If a Termination Event other than a Force Majeure Event occurs, an Affected Party will, promptly upon becoming aware of it, notify the other party, specifying the nature of that Termination Event and each Affected Transaction, and will also give the other party such other information about that Termination Event as the other party may reasonably require. If a Force Majeure Event occurs, each party will, promptly upon becoming aware of it, use all reasonable efforts to notify the other party, specifying the nature of that Force Majeure Event, and will also give the other party such other information about that Force Majeure Event as the other party may reasonably require.</w:t>
      </w:r>
    </w:p>
    <w:p>
      <w:pPr>
        <w:pStyle w:val="TextBody"/>
        <w:bidi w:val="0"/>
        <w:spacing w:before="188" w:after="188"/>
        <w:ind w:left="986" w:right="192" w:hanging="0"/>
        <w:jc w:val="both"/>
        <w:rPr>
          <w:sz w:val="20"/>
        </w:rPr>
      </w:pPr>
      <w:r>
        <w:rPr>
          <w:sz w:val="20"/>
        </w:rPr>
        <w:t>(ii)           </w:t>
      </w:r>
      <w:r>
        <w:rPr>
          <w:b/>
          <w:i/>
          <w:sz w:val="20"/>
        </w:rPr>
        <w:t xml:space="preserve">Transfer to Avoid Termination Event. </w:t>
      </w:r>
      <w:r>
        <w:rPr>
          <w:sz w:val="20"/>
        </w:rPr>
        <w:t>If a Tax Event occurs and there is only one Affected Party, or if a Tax Event Upon Merger occurs and the Burdened Party is the Affected Party, the Affected Party will, as a condition to its right to designate an Early Termination Date under Section 6(b)(iv), use all reasonable efforts (which will not require such party to incur a loss, other than immaterial, incidental expenses) to transfer within 20 days after it gives notice under Section 6(b)(i) all its rights and obligations under this Agreement in respect of the Affected Transactions to another of its Offices or Affiliates so that such Termination Event ceases to exist.</w:t>
      </w:r>
    </w:p>
    <w:p>
      <w:pPr>
        <w:pStyle w:val="TextBody"/>
        <w:bidi w:val="0"/>
        <w:spacing w:before="7" w:after="7"/>
        <w:ind w:left="7" w:right="7" w:hanging="0"/>
        <w:jc w:val="left"/>
        <w:rPr/>
      </w:pPr>
      <w:r>
        <w:rPr/>
        <w:t> </w:t>
      </w:r>
    </w:p>
    <w:p>
      <w:pPr>
        <w:pStyle w:val="TextBody"/>
        <w:bidi w:val="0"/>
        <w:ind w:left="986" w:right="193" w:hanging="0"/>
        <w:jc w:val="both"/>
        <w:rPr>
          <w:sz w:val="20"/>
        </w:rPr>
      </w:pPr>
      <w:r>
        <w:rPr>
          <w:sz w:val="20"/>
        </w:rPr>
        <w:t>If the Affected Party is not able to make such a transfer it will give notice to the other party to that effect within such 20 day period, whereupon the other party may effect such a transfer within 30 days after the notice is given under Section 6(b)(i).</w:t>
      </w:r>
    </w:p>
    <w:p>
      <w:pPr>
        <w:pStyle w:val="TextBody"/>
        <w:bidi w:val="0"/>
        <w:spacing w:before="7" w:after="7"/>
        <w:ind w:left="7" w:right="7" w:hanging="0"/>
        <w:jc w:val="left"/>
        <w:rPr/>
      </w:pPr>
      <w:r>
        <w:rPr/>
        <w:t> </w:t>
      </w:r>
    </w:p>
    <w:p>
      <w:pPr>
        <w:pStyle w:val="TextBody"/>
        <w:bidi w:val="0"/>
        <w:ind w:left="986" w:right="193" w:hanging="0"/>
        <w:jc w:val="both"/>
        <w:rPr>
          <w:sz w:val="20"/>
        </w:rPr>
      </w:pPr>
      <w:r>
        <w:rPr>
          <w:sz w:val="20"/>
        </w:rPr>
        <w:t>Any such transfer by a party under this Section 6(b)(ii) will be subject to and conditional upon the prior written consent of the other party, which consent will not be withheld if such other party’s policies in effect at such time would permit it to enter into transactions with the transferee on the terms proposed.</w:t>
      </w:r>
    </w:p>
    <w:p>
      <w:pPr>
        <w:pStyle w:val="TextBody"/>
        <w:bidi w:val="0"/>
        <w:spacing w:before="187" w:after="187"/>
        <w:ind w:left="986" w:right="192" w:hanging="0"/>
        <w:jc w:val="both"/>
        <w:rPr>
          <w:sz w:val="20"/>
        </w:rPr>
      </w:pPr>
      <w:r>
        <w:rPr>
          <w:sz w:val="20"/>
        </w:rPr>
        <w:t xml:space="preserve">(iii)           </w:t>
      </w:r>
      <w:r>
        <w:rPr>
          <w:b/>
          <w:i/>
          <w:sz w:val="20"/>
        </w:rPr>
        <w:t xml:space="preserve">Two Affected Parties. </w:t>
      </w:r>
      <w:r>
        <w:rPr>
          <w:sz w:val="20"/>
        </w:rPr>
        <w:t>If a Tax Event occurs and there are two Affected Parties, each party will use all reasonable efforts to reach agreement within 30 days after notice of such occurrence is given under Section 6(b)(i) to avoid that Termination Event.</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70"/>
        <w:gridCol w:w="1575"/>
        <w:gridCol w:w="8460"/>
      </w:tblGrid>
      <w:tr>
        <w:trPr/>
        <w:tc>
          <w:tcPr>
            <w:tcW w:w="17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(iv)</w:t>
            </w:r>
          </w:p>
        </w:tc>
        <w:tc>
          <w:tcPr>
            <w:tcW w:w="8460" w:type="dxa"/>
            <w:tcBorders/>
            <w:vAlign w:val="center"/>
          </w:tcPr>
          <w:p>
            <w:pPr>
              <w:pStyle w:val="TableContents"/>
              <w:bidi w:val="0"/>
              <w:spacing w:before="0" w:after="283"/>
              <w:jc w:val="both"/>
              <w:rPr/>
            </w:pPr>
            <w:r>
              <w:rPr/>
              <w:t>Right to Terminate.</w:t>
            </w:r>
          </w:p>
        </w:tc>
      </w:tr>
    </w:tbl>
    <w:p>
      <w:pPr>
        <w:pStyle w:val="TextBody"/>
        <w:bidi w:val="0"/>
        <w:spacing w:before="11" w:after="11"/>
        <w:ind w:left="11" w:right="11" w:hanging="0"/>
        <w:jc w:val="left"/>
        <w:rPr/>
      </w:pPr>
      <w:r>
        <w:rPr/>
        <w:t> </w:t>
      </w:r>
    </w:p>
    <w:tbl>
      <w:tblPr>
        <w:tblW w:w="5000" w:type="pct"/>
        <w:jc w:val="left"/>
        <w:tblInd w:w="0" w:type="dxa"/>
        <w:tblLayout w:type="fixed"/>
        <w:tblCellMar>
          <w:top w:w="0" w:type="dxa"/>
          <w:left w:w="0" w:type="dxa"/>
          <w:bottom w:w="0" w:type="dxa"/>
          <w:right w:w="0" w:type="dxa"/>
        </w:tblCellMar>
      </w:tblPr>
      <w:tblGrid>
        <w:gridCol w:w="676"/>
        <w:gridCol w:w="5165"/>
        <w:gridCol w:w="4364"/>
      </w:tblGrid>
      <w:tr>
        <w:trPr/>
        <w:tc>
          <w:tcPr>
            <w:tcW w:w="676" w:type="dxa"/>
            <w:tcBorders/>
            <w:vAlign w:val="center"/>
          </w:tcPr>
          <w:p>
            <w:pPr>
              <w:pStyle w:val="TableContents"/>
              <w:bidi w:val="0"/>
              <w:spacing w:before="0" w:after="283"/>
              <w:jc w:val="left"/>
              <w:rPr>
                <w:sz w:val="4"/>
                <w:szCs w:val="4"/>
              </w:rPr>
            </w:pPr>
            <w:r>
              <w:rPr>
                <w:sz w:val="4"/>
                <w:szCs w:val="4"/>
              </w:rPr>
            </w:r>
          </w:p>
        </w:tc>
        <w:tc>
          <w:tcPr>
            <w:tcW w:w="5165" w:type="dxa"/>
            <w:tcBorders/>
            <w:vAlign w:val="center"/>
          </w:tcPr>
          <w:p>
            <w:pPr>
              <w:pStyle w:val="TableContents"/>
              <w:bidi w:val="0"/>
              <w:spacing w:before="0" w:after="283"/>
              <w:jc w:val="left"/>
              <w:rPr/>
            </w:pPr>
            <w:r>
              <w:rPr/>
              <w:t>(1)</w:t>
            </w:r>
          </w:p>
        </w:tc>
        <w:tc>
          <w:tcPr>
            <w:tcW w:w="4364" w:type="dxa"/>
            <w:tcBorders/>
            <w:vAlign w:val="center"/>
          </w:tcPr>
          <w:p>
            <w:pPr>
              <w:pStyle w:val="TableContents"/>
              <w:bidi w:val="0"/>
              <w:spacing w:before="0" w:after="283"/>
              <w:jc w:val="both"/>
              <w:rPr/>
            </w:pPr>
            <w:r>
              <w:rPr/>
              <w:t>If:</w:t>
            </w:r>
          </w:p>
        </w:tc>
      </w:tr>
    </w:tbl>
    <w:p>
      <w:pPr>
        <w:pStyle w:val="TextBody"/>
        <w:bidi w:val="0"/>
        <w:spacing w:before="10" w:after="10"/>
        <w:ind w:left="10" w:right="10" w:hanging="0"/>
        <w:jc w:val="left"/>
        <w:rPr/>
      </w:pPr>
      <w:r>
        <w:rPr/>
        <w:t> </w:t>
      </w:r>
    </w:p>
    <w:p>
      <w:pPr>
        <w:pStyle w:val="TextBody"/>
        <w:bidi w:val="0"/>
        <w:ind w:left="2404" w:right="192" w:hanging="0"/>
        <w:jc w:val="both"/>
        <w:rPr>
          <w:sz w:val="20"/>
        </w:rPr>
      </w:pPr>
      <w:r>
        <w:rPr>
          <w:sz w:val="20"/>
        </w:rPr>
        <w:t>(A)           a transfer under Section 6(b)(ii) or an agreement under Section 6(b)(iii), as the case may be, has not been effected with respect to all Affected Transactions within 30 days after an Affected Party gives notice under Section 6(b)(i); or</w:t>
      </w:r>
    </w:p>
    <w:p>
      <w:pPr>
        <w:pStyle w:val="TextBody"/>
        <w:bidi w:val="0"/>
        <w:spacing w:before="7" w:after="7"/>
        <w:ind w:left="7" w:right="7" w:hanging="0"/>
        <w:jc w:val="left"/>
        <w:rPr/>
      </w:pPr>
      <w:r>
        <w:rPr/>
        <w:t> </w:t>
      </w:r>
    </w:p>
    <w:p>
      <w:pPr>
        <w:pStyle w:val="TextBody"/>
        <w:bidi w:val="0"/>
        <w:ind w:left="2404" w:right="192" w:hanging="0"/>
        <w:jc w:val="both"/>
        <w:rPr>
          <w:sz w:val="20"/>
        </w:rPr>
      </w:pPr>
      <w:r>
        <w:rPr>
          <w:sz w:val="20"/>
        </w:rPr>
        <w:t>(B)           a Credit Event Upon Merger or an Additional Termination Event occurs, or a Tax Event Upon Merger occurs and the Burdened Party is not the Affected Party,</w:t>
      </w:r>
    </w:p>
    <w:p>
      <w:pPr>
        <w:pStyle w:val="TextBody"/>
        <w:bidi w:val="0"/>
        <w:spacing w:before="6" w:after="6"/>
        <w:ind w:left="6" w:right="6" w:hanging="0"/>
        <w:jc w:val="left"/>
        <w:rPr/>
      </w:pPr>
      <w:r>
        <w:rPr/>
        <w:t> </w:t>
      </w:r>
    </w:p>
    <w:p>
      <w:pPr>
        <w:pStyle w:val="TextBody"/>
        <w:bidi w:val="0"/>
        <w:spacing w:before="1" w:after="1"/>
        <w:ind w:left="1696" w:right="190" w:hanging="0"/>
        <w:jc w:val="both"/>
        <w:rPr>
          <w:sz w:val="20"/>
        </w:rPr>
      </w:pPr>
      <w:r>
        <w:rPr>
          <w:sz w:val="20"/>
        </w:rPr>
        <w:t>the Burdened Party in the case of a Tax Event Upon Merger, any Affected Party in the case of a Tax Event or an Additional Termination Event if there are two Affected Parties, or the Non- affected Party in the case of a Credit Event Upon Merger or an Additional Termination Event if there is only one Affected Party may, if the relevant Termination Event is then continuing, by not more than 20 days notice to the other party, designate a day not earlier than the day such notice is effective as an Early Termination Date in respect of all Affected Transactions.</w:t>
      </w:r>
    </w:p>
    <w:p>
      <w:pPr>
        <w:pStyle w:val="TextBody"/>
        <w:bidi w:val="0"/>
        <w:spacing w:before="8" w:after="8"/>
        <w:ind w:left="8" w:right="8" w:hanging="0"/>
        <w:jc w:val="left"/>
        <w:rPr/>
      </w:pPr>
      <w:r>
        <w:rPr/>
        <w:t> </w:t>
      </w:r>
    </w:p>
    <w:p>
      <w:pPr>
        <w:pStyle w:val="TextBody"/>
        <w:bidi w:val="0"/>
        <w:spacing w:before="1" w:after="1"/>
        <w:ind w:left="1696" w:right="191" w:hanging="0"/>
        <w:jc w:val="both"/>
        <w:rPr>
          <w:sz w:val="20"/>
        </w:rPr>
      </w:pPr>
      <w:r>
        <w:rPr>
          <w:sz w:val="20"/>
        </w:rPr>
        <w:t>(2)            If at any time an Illegality or a Force Majeure Event has occurred and is then continuing and any applicable Waiting Period has expired:</w:t>
      </w:r>
    </w:p>
    <w:p>
      <w:pPr>
        <w:pStyle w:val="TextBody"/>
        <w:bidi w:val="0"/>
        <w:spacing w:before="6" w:after="6"/>
        <w:ind w:left="6" w:right="6" w:hanging="0"/>
        <w:jc w:val="left"/>
        <w:rPr/>
      </w:pPr>
      <w:r>
        <w:rPr/>
        <w:t> </w:t>
      </w:r>
    </w:p>
    <w:p>
      <w:pPr>
        <w:pStyle w:val="TextBody"/>
        <w:bidi w:val="0"/>
        <w:ind w:left="2404" w:right="189" w:hanging="0"/>
        <w:jc w:val="both"/>
        <w:rPr>
          <w:sz w:val="20"/>
        </w:rPr>
      </w:pPr>
      <w:r>
        <w:rPr>
          <w:sz w:val="20"/>
        </w:rPr>
        <w:t>(A)           Subject to clause (B) below, either party may, by not more than 20 days notice to the other party, designate (I) a day not earlier than the day on which such notice becomes effective as an Early Termination Date in respect of all Affected Transactions or (II) by specifying in that notice the Affected Transactions in respect of which it is designating the relevant day as an Early Termination Date, a day not earlier than two Local Business Days following the day on which such notice becomes effective as an Early Termination Date in respect of less than all Affected Transactions. Upon receipt of a notice designating an Early Termination Date in respect of less than all Affected Transactions, the other party may, by notice to the designating party, if such notice is effective on or before the day so designated, designate that same day as an Early Termination Date in respect of any or all other Affected Transactions.</w:t>
      </w:r>
    </w:p>
    <w:p>
      <w:pPr>
        <w:pStyle w:val="TextBody"/>
        <w:bidi w:val="0"/>
        <w:spacing w:before="0" w:after="283"/>
        <w:jc w:val="left"/>
        <w:rPr/>
      </w:pPr>
      <w:r>
        <w:rPr/>
        <w:t> </w:t>
      </w:r>
    </w:p>
    <w:p>
      <w:pPr>
        <w:pStyle w:val="TextBody"/>
        <w:bidi w:val="0"/>
        <w:ind w:left="2404" w:right="191" w:hanging="0"/>
        <w:jc w:val="both"/>
        <w:rPr>
          <w:sz w:val="20"/>
        </w:rPr>
      </w:pPr>
      <w:r>
        <w:rPr>
          <w:sz w:val="20"/>
        </w:rPr>
        <w:t>(B)           An Affected Party (if the Illegality or Force Majeure Event relates to performance by such party or any Credit Support Provider of such party of an obligation to make any payment or delivery under, or to compliance with any other material provision of, the relevant Credit Support Document) will only have the right to designate an Early Termination Date under Section 6(b)(iv)(2)(A) as a result of an Illegality under Section 5(b)(i)(2) or a Force Majeure Event under Section 5(b)(ii)(2) following the prior designation by the other party of an Early Termination Date, pursuant to Section 6(b)(iv)(2)(A), in respect of less than all Affected Transactions.</w:t>
      </w:r>
    </w:p>
    <w:p>
      <w:pPr>
        <w:pStyle w:val="TextBody"/>
        <w:bidi w:val="0"/>
        <w:spacing w:before="175" w:after="175"/>
        <w:ind w:left="986" w:right="175" w:hanging="709"/>
        <w:jc w:val="both"/>
        <w:rPr>
          <w:b/>
          <w:i/>
          <w:sz w:val="20"/>
        </w:rPr>
      </w:pPr>
      <w:r>
        <w:rPr>
          <w:b w:val="false"/>
          <w:i w:val="false"/>
          <w:caps w:val="false"/>
          <w:smallCaps w:val="false"/>
          <w:sz w:val="20"/>
        </w:rPr>
        <w:t xml:space="preserve">(c)             </w:t>
      </w:r>
      <w:r>
        <w:rPr>
          <w:b/>
          <w:i/>
          <w:sz w:val="20"/>
        </w:rPr>
        <w:t>Effect of Designation.</w:t>
      </w:r>
    </w:p>
    <w:p>
      <w:pPr>
        <w:pStyle w:val="TextBody"/>
        <w:bidi w:val="0"/>
        <w:spacing w:before="11" w:after="11"/>
        <w:ind w:left="11" w:right="11" w:hanging="0"/>
        <w:jc w:val="left"/>
        <w:rPr/>
      </w:pPr>
      <w:r>
        <w:rPr/>
        <w:t> </w:t>
      </w:r>
    </w:p>
    <w:p>
      <w:pPr>
        <w:pStyle w:val="TextBody"/>
        <w:bidi w:val="0"/>
        <w:ind w:left="986" w:right="190" w:hanging="0"/>
        <w:jc w:val="both"/>
        <w:rPr>
          <w:sz w:val="20"/>
        </w:rPr>
      </w:pPr>
      <w:r>
        <w:rPr>
          <w:sz w:val="20"/>
        </w:rPr>
        <w:t>(i)             If notice designating an Early Termination Date is given under Section 6(a) or 6(b), the Early Termination Date will occur on the date so designated, whether or not the relevant Event of Default or Termination Event is then continuing.</w:t>
      </w:r>
    </w:p>
    <w:p>
      <w:pPr>
        <w:pStyle w:val="TextBody"/>
        <w:bidi w:val="0"/>
        <w:spacing w:before="7" w:after="7"/>
        <w:ind w:left="7" w:right="7" w:hanging="0"/>
        <w:jc w:val="left"/>
        <w:rPr/>
      </w:pPr>
      <w:r>
        <w:rPr/>
        <w:t> </w:t>
      </w:r>
    </w:p>
    <w:p>
      <w:pPr>
        <w:pStyle w:val="TextBody"/>
        <w:bidi w:val="0"/>
        <w:ind w:left="986" w:right="190" w:hanging="0"/>
        <w:jc w:val="both"/>
        <w:rPr>
          <w:sz w:val="20"/>
        </w:rPr>
      </w:pPr>
      <w:r>
        <w:rPr>
          <w:sz w:val="20"/>
        </w:rPr>
        <w:t>(ii)            Upon the occurrence or effective designation of an Early Termination Date, no further payments or deliveries under Section 2(a)(i) or 9(h)(i) in respect of the Terminated Transactions will be required to be made, but without prejudice to the other provisions of this Agreement. The amount, if any, payable in respect of an Early Termination Date will be determined pursuant to Sections 6(e) and 9(h)(ii).</w:t>
      </w:r>
    </w:p>
    <w:p>
      <w:pPr>
        <w:pStyle w:val="TextBody"/>
        <w:bidi w:val="0"/>
        <w:ind w:left="986" w:right="19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143" w:after="143"/>
        <w:ind w:left="986" w:right="143" w:hanging="709"/>
        <w:jc w:val="both"/>
        <w:rPr>
          <w:b/>
          <w:i/>
          <w:sz w:val="20"/>
        </w:rPr>
      </w:pPr>
      <w:r>
        <w:rPr>
          <w:b w:val="false"/>
          <w:i w:val="false"/>
          <w:caps w:val="false"/>
          <w:smallCaps w:val="false"/>
          <w:sz w:val="20"/>
        </w:rPr>
        <w:t xml:space="preserve">(d)            </w:t>
      </w:r>
      <w:r>
        <w:rPr>
          <w:b/>
          <w:i/>
          <w:sz w:val="20"/>
        </w:rPr>
        <w:t>Calculations; Payment Date.</w:t>
      </w:r>
    </w:p>
    <w:p>
      <w:pPr>
        <w:pStyle w:val="TextBody"/>
        <w:bidi w:val="0"/>
        <w:spacing w:before="166" w:after="166"/>
        <w:ind w:left="986" w:right="189" w:hanging="0"/>
        <w:jc w:val="both"/>
        <w:rPr>
          <w:sz w:val="20"/>
        </w:rPr>
      </w:pPr>
      <w:r>
        <w:rPr>
          <w:sz w:val="20"/>
        </w:rPr>
        <w:t xml:space="preserve">(i)             </w:t>
      </w:r>
      <w:r>
        <w:rPr>
          <w:b/>
          <w:i/>
          <w:sz w:val="20"/>
        </w:rPr>
        <w:t xml:space="preserve">Statement. </w:t>
      </w:r>
      <w:r>
        <w:rPr>
          <w:sz w:val="20"/>
        </w:rPr>
        <w:t>On or as soon as reasonably practicable following the occurrence of an Early Termination Date, each party will make the calculations on its part, if any, contemplated by Section 6(e) and will provide to the other party a statement (l) showing, in reasonable detail, such calculations (including any quotations, market data or information from internal sources used in making such calculations), (2) specifying (except where there are two Affected Parties) any Early Termination Amount payable and (3)  giving details of the relevant account to which any amount payable to it is to be paid. In the absence of written confirmation from the source of a quotation or market data obtained in determining a Close-out Amount, the records of the party obtaining such quotation or market data will be conclusive evidence of the existence and accuracy of such quotation or market data.</w:t>
      </w:r>
    </w:p>
    <w:p>
      <w:pPr>
        <w:pStyle w:val="TextBody"/>
        <w:bidi w:val="0"/>
        <w:spacing w:before="187" w:after="187"/>
        <w:ind w:left="986" w:right="191" w:hanging="0"/>
        <w:jc w:val="both"/>
        <w:rPr>
          <w:sz w:val="20"/>
        </w:rPr>
      </w:pPr>
      <w:r>
        <w:rPr>
          <w:sz w:val="20"/>
        </w:rPr>
        <w:t xml:space="preserve">(ii)            </w:t>
      </w:r>
      <w:r>
        <w:rPr>
          <w:b/>
          <w:i/>
          <w:sz w:val="20"/>
        </w:rPr>
        <w:t xml:space="preserve">Payment Date. </w:t>
      </w:r>
      <w:r>
        <w:rPr>
          <w:sz w:val="20"/>
        </w:rPr>
        <w:t>An Early Termination Amount due in respect of any Early Termination Date will, together with any amount of interest payable pursuant to Section 9(h)(ii)(2), be payable (1) on the day on which notice of the amount payable is effective in the case of an Early Termination Date which is designated or occurs as a result of an Event of Default and (2) on the day which is two Local Business Days after the day on which notice of the amount payable is effective (or, if there are two Affected Parties, after the day on which the statement provided pursuant to clause (i) above by the second party to provide such a statement is effective) in the case of an Early Termination Date which is designated as a result of a Termination Event.</w:t>
      </w:r>
    </w:p>
    <w:p>
      <w:pPr>
        <w:pStyle w:val="TextBody"/>
        <w:bidi w:val="0"/>
        <w:spacing w:before="187" w:after="187"/>
        <w:ind w:left="278" w:right="193" w:hanging="0"/>
        <w:jc w:val="both"/>
        <w:rPr>
          <w:sz w:val="20"/>
        </w:rPr>
      </w:pPr>
      <w:r>
        <w:rPr>
          <w:sz w:val="20"/>
        </w:rPr>
        <w:t xml:space="preserve">(e)             </w:t>
      </w:r>
      <w:r>
        <w:rPr>
          <w:b/>
          <w:i/>
          <w:sz w:val="20"/>
        </w:rPr>
        <w:t xml:space="preserve">Payments on Early Termination. </w:t>
      </w:r>
      <w:r>
        <w:rPr>
          <w:sz w:val="20"/>
        </w:rPr>
        <w:t>If an Early Termination Date occurs, the amount, if any, payable in respect of that Early Termination Date (the “Early Termination Amount”) will be determined pursuant to this Section 6(e) and will be subject to Section 6(f).</w:t>
      </w:r>
    </w:p>
    <w:p>
      <w:pPr>
        <w:pStyle w:val="TextBody"/>
        <w:bidi w:val="0"/>
        <w:spacing w:before="191" w:after="191"/>
        <w:ind w:left="986" w:right="189" w:hanging="0"/>
        <w:jc w:val="both"/>
        <w:rPr>
          <w:sz w:val="20"/>
        </w:rPr>
      </w:pPr>
      <w:r>
        <w:rPr>
          <w:sz w:val="20"/>
        </w:rPr>
        <w:t xml:space="preserve">(i)            </w:t>
      </w:r>
      <w:r>
        <w:rPr>
          <w:b/>
          <w:i/>
          <w:sz w:val="20"/>
        </w:rPr>
        <w:t xml:space="preserve">Events of Default. </w:t>
      </w:r>
      <w:r>
        <w:rPr>
          <w:sz w:val="20"/>
        </w:rPr>
        <w:t>If the Early Termination Date results from an Event of Default, the Early Termination Amount will be an amount equal to (1) the sum of (A) the Termination Currency Equivalent of the Close-out Amount or Close-out Amounts (whether positive or negative) determined by the Non-defaulting Party for each Terminated Transaction or group of Terminated Transactions, as the case may be, and (B) the Termination Currency Equivalent of the Unpaid Amounts owing to the Non-defaulting Party less (2) the Termination Currency Equivalent of the Unpaid Amounts owing to the Defaulting Party. If the Early Termination Amount is a positive number, the Defaulting Party will pay it to the Non-defaulting Party; if it is a negative number, the Non-defaulting Party will pay the absolute value of the Early Termination Amount to the Defaulting Party.</w:t>
      </w:r>
    </w:p>
    <w:tbl>
      <w:tblPr>
        <w:tblW w:w="5000" w:type="pct"/>
        <w:jc w:val="left"/>
        <w:tblInd w:w="0" w:type="dxa"/>
        <w:tblLayout w:type="fixed"/>
        <w:tblCellMar>
          <w:top w:w="0" w:type="dxa"/>
          <w:left w:w="0" w:type="dxa"/>
          <w:bottom w:w="0" w:type="dxa"/>
          <w:right w:w="0" w:type="dxa"/>
        </w:tblCellMar>
      </w:tblPr>
      <w:tblGrid>
        <w:gridCol w:w="45"/>
        <w:gridCol w:w="351"/>
        <w:gridCol w:w="9809"/>
      </w:tblGrid>
      <w:tr>
        <w:trPr/>
        <w:tc>
          <w:tcPr>
            <w:tcW w:w="4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pPr>
            <w:r>
              <w:rPr/>
              <w:t>(ii)</w:t>
            </w:r>
          </w:p>
        </w:tc>
        <w:tc>
          <w:tcPr>
            <w:tcW w:w="9809" w:type="dxa"/>
            <w:tcBorders/>
            <w:vAlign w:val="center"/>
          </w:tcPr>
          <w:p>
            <w:pPr>
              <w:pStyle w:val="TableContents"/>
              <w:bidi w:val="0"/>
              <w:spacing w:before="0" w:after="283"/>
              <w:jc w:val="both"/>
              <w:rPr/>
            </w:pPr>
            <w:r>
              <w:rPr>
                <w:b/>
                <w:i/>
              </w:rPr>
              <w:t xml:space="preserve">Termination Events. </w:t>
            </w:r>
            <w:r>
              <w:rPr/>
              <w:t>If the Early Termination Date results from a Termination Event:</w:t>
            </w:r>
          </w:p>
        </w:tc>
      </w:tr>
    </w:tbl>
    <w:p>
      <w:pPr>
        <w:pStyle w:val="TextBody"/>
        <w:bidi w:val="0"/>
        <w:spacing w:before="3" w:after="3"/>
        <w:ind w:left="3" w:right="3" w:hanging="0"/>
        <w:jc w:val="left"/>
        <w:rPr/>
      </w:pPr>
      <w:r>
        <w:rPr/>
        <w:t> </w:t>
      </w:r>
    </w:p>
    <w:p>
      <w:pPr>
        <w:pStyle w:val="TextBody"/>
        <w:bidi w:val="0"/>
        <w:ind w:left="1696" w:right="190" w:hanging="0"/>
        <w:jc w:val="both"/>
        <w:rPr>
          <w:sz w:val="20"/>
        </w:rPr>
      </w:pPr>
      <w:r>
        <w:rPr>
          <w:sz w:val="20"/>
        </w:rPr>
        <w:t xml:space="preserve">(1)            </w:t>
      </w:r>
      <w:r>
        <w:rPr>
          <w:i/>
          <w:sz w:val="20"/>
        </w:rPr>
        <w:t>One Affected Party</w:t>
      </w:r>
      <w:r>
        <w:rPr>
          <w:sz w:val="20"/>
        </w:rPr>
        <w:t>. Subject to clause (3) below, if there is one Affected Party, the Early Termination Amount will be determined in accordance with Section 6(e)(i), except that references to the Defaulting Party and to the Non-defaulting Party will be deemed to be references to the Affected Party and to the Non-affected Party, respectively.</w:t>
      </w:r>
    </w:p>
    <w:p>
      <w:pPr>
        <w:pStyle w:val="TextBody"/>
        <w:bidi w:val="0"/>
        <w:spacing w:before="8" w:after="8"/>
        <w:ind w:left="8" w:right="8" w:hanging="0"/>
        <w:jc w:val="left"/>
        <w:rPr/>
      </w:pPr>
      <w:r>
        <w:rPr/>
        <w:t> </w:t>
      </w:r>
    </w:p>
    <w:p>
      <w:pPr>
        <w:pStyle w:val="TextBody"/>
        <w:bidi w:val="0"/>
        <w:ind w:left="1696" w:right="190" w:hanging="0"/>
        <w:jc w:val="both"/>
        <w:rPr>
          <w:sz w:val="20"/>
        </w:rPr>
      </w:pPr>
      <w:r>
        <w:rPr>
          <w:sz w:val="20"/>
        </w:rPr>
        <w:t xml:space="preserve">(2)            </w:t>
      </w:r>
      <w:r>
        <w:rPr>
          <w:i/>
          <w:sz w:val="20"/>
        </w:rPr>
        <w:t>Two Affected Parties</w:t>
      </w:r>
      <w:r>
        <w:rPr>
          <w:sz w:val="20"/>
        </w:rPr>
        <w:t>. Subject to clause (3) below, if there are two Affected Parties, each party will determine an amount equal to the Termination Currency Equivalent of the sum of the Close-out Amount or Close-out Amounts (whether positive or negative) for each Terminated Transaction or group of Terminated Transactions, as the case may be, and the Early Termination Amount will be an amount equal to (A) the sum of (I) one-half of the difference between the higher amount so determined (by party “X”) and the lower amount so determined (by party “Y”) and (II) the Termination Currency Equivalent of the Unpaid Amounts owing to X less (B) the Termination Currency Equivalent of the Unpaid Amounts owing to Y. If the Early Termination Amount is a positive number, Y will pay it to X; if it is a negative number, X will pay the absolute value of the Early Termination Amount to Y.</w:t>
      </w:r>
    </w:p>
    <w:p>
      <w:pPr>
        <w:pStyle w:val="TextBody"/>
        <w:bidi w:val="0"/>
        <w:ind w:left="1696" w:right="19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ind w:left="1696" w:right="192" w:hanging="0"/>
        <w:jc w:val="both"/>
        <w:rPr>
          <w:sz w:val="20"/>
        </w:rPr>
      </w:pPr>
      <w:r>
        <w:rPr>
          <w:sz w:val="20"/>
        </w:rPr>
        <w:t xml:space="preserve">(3)            </w:t>
      </w:r>
      <w:r>
        <w:rPr>
          <w:i/>
          <w:sz w:val="20"/>
        </w:rPr>
        <w:t>Mid-Market Events</w:t>
      </w:r>
      <w:r>
        <w:rPr>
          <w:sz w:val="20"/>
        </w:rPr>
        <w:t>. If that Termination Event is an Illegality or a Force Majeure Event, then the Early Termination Amount will be determined in accordance with clause (1) or (2) above, as appropriate, except that, for the purpose of determining a Close-out Amount or Close-out Amounts, the Determining Party will:</w:t>
      </w:r>
    </w:p>
    <w:p>
      <w:pPr>
        <w:pStyle w:val="TextBody"/>
        <w:bidi w:val="0"/>
        <w:spacing w:before="8" w:after="8"/>
        <w:ind w:left="8" w:right="8" w:hanging="0"/>
        <w:jc w:val="left"/>
        <w:rPr/>
      </w:pPr>
      <w:r>
        <w:rPr/>
        <w:t> </w:t>
      </w:r>
    </w:p>
    <w:p>
      <w:pPr>
        <w:pStyle w:val="TextBody"/>
        <w:bidi w:val="0"/>
        <w:ind w:left="2404" w:right="191" w:hanging="0"/>
        <w:jc w:val="both"/>
        <w:rPr>
          <w:sz w:val="20"/>
        </w:rPr>
      </w:pPr>
      <w:r>
        <w:rPr>
          <w:sz w:val="20"/>
        </w:rPr>
        <w:t>(A)           if obtaining quotations from one or more third parties (or from any of the Determining Party’s Affiliates), ask each third party or Affiliate (I) not to take account of the current creditworthiness of the Determining Party or any existing Credit Support Document and (II) to provide mid-market quotations; and</w:t>
      </w:r>
    </w:p>
    <w:p>
      <w:pPr>
        <w:pStyle w:val="TextBody"/>
        <w:bidi w:val="0"/>
        <w:spacing w:before="7" w:after="7"/>
        <w:ind w:left="7" w:right="7" w:hanging="0"/>
        <w:jc w:val="left"/>
        <w:rPr/>
      </w:pPr>
      <w:r>
        <w:rPr/>
        <w:t> </w:t>
      </w:r>
    </w:p>
    <w:p>
      <w:pPr>
        <w:pStyle w:val="TextBody"/>
        <w:bidi w:val="0"/>
        <w:ind w:left="2404" w:right="191" w:hanging="0"/>
        <w:jc w:val="both"/>
        <w:rPr>
          <w:sz w:val="20"/>
        </w:rPr>
      </w:pPr>
      <w:r>
        <w:rPr>
          <w:sz w:val="20"/>
        </w:rPr>
        <w:t>(B)           in any other case, use mid-market values without regard to the creditworthiness of the Determining Party.</w:t>
      </w:r>
    </w:p>
    <w:p>
      <w:pPr>
        <w:pStyle w:val="TextBody"/>
        <w:bidi w:val="0"/>
        <w:spacing w:before="9" w:after="9"/>
        <w:ind w:left="9" w:right="9" w:hanging="0"/>
        <w:jc w:val="left"/>
        <w:rPr/>
      </w:pPr>
      <w:r>
        <w:rPr/>
        <w:t> </w:t>
      </w:r>
    </w:p>
    <w:p>
      <w:pPr>
        <w:pStyle w:val="TextBody"/>
        <w:bidi w:val="0"/>
        <w:ind w:left="986" w:right="192" w:hanging="0"/>
        <w:jc w:val="both"/>
        <w:rPr>
          <w:sz w:val="20"/>
        </w:rPr>
      </w:pPr>
      <w:r>
        <w:rPr>
          <w:sz w:val="20"/>
        </w:rPr>
        <w:t xml:space="preserve">(iii)           </w:t>
      </w:r>
      <w:r>
        <w:rPr>
          <w:b/>
          <w:i/>
          <w:sz w:val="20"/>
        </w:rPr>
        <w:t xml:space="preserve">Adjustment for Bankruptcy. </w:t>
      </w:r>
      <w:r>
        <w:rPr>
          <w:sz w:val="20"/>
        </w:rPr>
        <w:t>In circumstances where an Early Termination Date occurs because Automatic Early Termination applies in respect of a party, the Early Termination Amount will be subject to such adjustments as are appropriate and permitted by applicable law to reflect any payments or deliveries made by one party to the other under this Agreement (and retained by such other party) during the period from the relevant Early Termination Date to the date for payment determined under Section 6(d)(ii).</w:t>
      </w:r>
    </w:p>
    <w:p>
      <w:pPr>
        <w:pStyle w:val="TextBody"/>
        <w:bidi w:val="0"/>
        <w:spacing w:before="9" w:after="9"/>
        <w:ind w:left="9" w:right="9" w:hanging="0"/>
        <w:jc w:val="left"/>
        <w:rPr/>
      </w:pPr>
      <w:r>
        <w:rPr/>
        <w:t> </w:t>
      </w:r>
    </w:p>
    <w:p>
      <w:pPr>
        <w:pStyle w:val="TextBody"/>
        <w:bidi w:val="0"/>
        <w:ind w:left="986" w:right="192" w:hanging="0"/>
        <w:jc w:val="both"/>
        <w:rPr>
          <w:sz w:val="20"/>
        </w:rPr>
      </w:pPr>
      <w:r>
        <w:rPr>
          <w:sz w:val="20"/>
        </w:rPr>
        <w:t xml:space="preserve">(iv)           </w:t>
      </w:r>
      <w:r>
        <w:rPr>
          <w:b/>
          <w:i/>
          <w:sz w:val="20"/>
        </w:rPr>
        <w:t xml:space="preserve">Adjustment for Illegality or Force Majeure Event. </w:t>
      </w:r>
      <w:r>
        <w:rPr>
          <w:sz w:val="20"/>
        </w:rPr>
        <w:t>The failure by a party or any Credit Support Provider of such party to pay, when due, any Early Termination Amount will not constitute an Event of Default under Section 5(a)(i) or 5(a)(iii)(1) if such failure is due to the occurrence of an event or circumstance which would, if it occurred with respect to payment, delivery or compliance related to a Transaction, constitute or give rise to an Illegality or a Force Majeure Event. Such amount will (1) accrue interest and otherwise be treated as an Unpaid Amount owing to the other party if subsequently an Early Termination Date results from an Event of Default, a Credit Event Upon Merger or an Additional Termination Event in respect of which all outstanding Transactions are Affected Transactions and (2) otherwise accrue interest in accordance with Section 9(h)(ii)(2).</w:t>
      </w:r>
    </w:p>
    <w:p>
      <w:pPr>
        <w:pStyle w:val="TextBody"/>
        <w:bidi w:val="0"/>
        <w:spacing w:before="1" w:after="1"/>
        <w:ind w:left="1" w:right="1" w:hanging="0"/>
        <w:jc w:val="left"/>
        <w:rPr/>
      </w:pPr>
      <w:r>
        <w:rPr/>
        <w:t> </w:t>
      </w:r>
    </w:p>
    <w:p>
      <w:pPr>
        <w:pStyle w:val="TextBody"/>
        <w:bidi w:val="0"/>
        <w:ind w:left="986" w:right="191" w:hanging="0"/>
        <w:jc w:val="both"/>
        <w:rPr>
          <w:sz w:val="20"/>
        </w:rPr>
      </w:pPr>
      <w:r>
        <w:rPr>
          <w:sz w:val="20"/>
        </w:rPr>
        <w:t xml:space="preserve">(v)            </w:t>
      </w:r>
      <w:r>
        <w:rPr>
          <w:b/>
          <w:i/>
          <w:sz w:val="20"/>
        </w:rPr>
        <w:t xml:space="preserve">Pre-Estimate. </w:t>
      </w:r>
      <w:r>
        <w:rPr>
          <w:sz w:val="20"/>
        </w:rPr>
        <w:t>The parties agree that an amount recoverable under this Section 6(e) is a reasonable pre-estimate of loss and not a penalty. Such amount is payable for the loss of bargain and the loss of protection against future risks, and, except as otherwise provided in this Agreement, neither party will be entitled to recover any additional damages as a consequence of the termination of the Terminated Transactions.</w:t>
      </w:r>
    </w:p>
    <w:p>
      <w:pPr>
        <w:pStyle w:val="TextBody"/>
        <w:bidi w:val="0"/>
        <w:ind w:left="986" w:right="191" w:hanging="0"/>
        <w:jc w:val="both"/>
        <w:rPr/>
      </w:pPr>
      <w:r>
        <w:rPr/>
        <w:t> </w:t>
      </w:r>
    </w:p>
    <w:p>
      <w:pPr>
        <w:pStyle w:val="TextBody"/>
        <w:bidi w:val="0"/>
        <w:spacing w:before="0" w:after="0"/>
        <w:ind w:left="278" w:right="191" w:hanging="0"/>
        <w:jc w:val="both"/>
        <w:rPr>
          <w:sz w:val="20"/>
        </w:rPr>
      </w:pPr>
      <w:r>
        <w:rPr>
          <w:sz w:val="20"/>
        </w:rPr>
        <w:t>(f)              </w:t>
      </w:r>
      <w:r>
        <w:rPr>
          <w:b/>
          <w:i/>
          <w:sz w:val="20"/>
        </w:rPr>
        <w:t xml:space="preserve">Set-Off. </w:t>
      </w:r>
      <w:r>
        <w:rPr>
          <w:sz w:val="20"/>
        </w:rPr>
        <w:t>Any Early Termination Amount payable to one party (the “Payee”) by the other party (the “Payer”), in circumstances where there is a Defaulting Party or where there is one Affected Party in the case where either a Credit Event Upon Merger has occurred or any other Termination Event in respect of which all outstanding Transactions are Affected Transactions has occurred, will, at the option of the Non-defaulting Party or the Non- affected Party, as the case may be (“X”) (and without prior notice to the Defaulting Party or the Affected Party, as the case may be), be reduced by its set-off against any other amounts (“Other Amounts”) payable by the Payee to the Payer (whether or not arising under this Agreement, matured or contingent and irrespective of the currency, place of payment or place of booking of the obligation). To the extent that any Other Amounts are so set off, those Other Amounts will be discharged promptly and in all respects. X will give notice to the other party of any set-off effected under this Section 6(f).</w:t>
      </w:r>
    </w:p>
    <w:p>
      <w:pPr>
        <w:pStyle w:val="TextBody"/>
        <w:bidi w:val="0"/>
        <w:spacing w:before="10" w:after="10"/>
        <w:ind w:left="10" w:right="10" w:hanging="0"/>
        <w:jc w:val="left"/>
        <w:rPr/>
      </w:pPr>
      <w:r>
        <w:rPr/>
        <w:t> </w:t>
      </w:r>
    </w:p>
    <w:p>
      <w:pPr>
        <w:pStyle w:val="TextBody"/>
        <w:bidi w:val="0"/>
        <w:ind w:left="278" w:right="192" w:hanging="0"/>
        <w:jc w:val="both"/>
        <w:rPr>
          <w:sz w:val="20"/>
        </w:rPr>
      </w:pPr>
      <w:r>
        <w:rPr>
          <w:sz w:val="20"/>
        </w:rPr>
        <w:t>For this purpose, either the Early Termination Amount or the Other Amounts (or the relevant portion of such amounts) may be converted by X into the currency in which the other is denominated at the rate of exchange at which such party would be able, in good faith and using commercially reasonable procedures, to purchase the relevant amount of such currency.</w:t>
      </w:r>
    </w:p>
    <w:p>
      <w:pPr>
        <w:pStyle w:val="TextBody"/>
        <w:bidi w:val="0"/>
        <w:ind w:left="278" w:right="192"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2" w:after="2"/>
        <w:ind w:left="2" w:right="2" w:hanging="0"/>
        <w:jc w:val="left"/>
        <w:rPr/>
      </w:pPr>
      <w:r>
        <w:rPr/>
        <w:t> </w:t>
      </w:r>
    </w:p>
    <w:p>
      <w:pPr>
        <w:pStyle w:val="TextBody"/>
        <w:bidi w:val="0"/>
        <w:ind w:left="278" w:right="194" w:hanging="0"/>
        <w:jc w:val="both"/>
        <w:rPr>
          <w:sz w:val="20"/>
        </w:rPr>
      </w:pPr>
      <w:r>
        <w:rPr>
          <w:sz w:val="20"/>
        </w:rPr>
        <w:t>If an obligation is unascertained, X may in good faith estimate that obligation and set off in respect of the estimate, subject to the relevant party accounting to the other when the obligation is ascertained.</w:t>
      </w:r>
    </w:p>
    <w:p>
      <w:pPr>
        <w:pStyle w:val="TextBody"/>
        <w:bidi w:val="0"/>
        <w:spacing w:before="6" w:after="6"/>
        <w:ind w:left="6" w:right="6" w:hanging="0"/>
        <w:jc w:val="left"/>
        <w:rPr/>
      </w:pPr>
      <w:r>
        <w:rPr/>
        <w:t> </w:t>
      </w:r>
    </w:p>
    <w:p>
      <w:pPr>
        <w:pStyle w:val="TextBody"/>
        <w:bidi w:val="0"/>
        <w:spacing w:before="1" w:after="1"/>
        <w:ind w:left="278" w:right="187" w:hanging="0"/>
        <w:jc w:val="both"/>
        <w:rPr>
          <w:sz w:val="20"/>
        </w:rPr>
      </w:pPr>
      <w:r>
        <w:rPr>
          <w:sz w:val="20"/>
        </w:rPr>
        <w:t>Nothing in this Section 6(f) will be effective to create a charge or other security interest. This Section 6(f) will be without prejudice and in addition to any right of set-off, offset, combination of accounts, lien, right of retention or withholding or similar right or requirement to which any party is at any time otherwise entitled or subject (whether by operation of law, contract or otherwise).</w:t>
      </w:r>
    </w:p>
    <w:p>
      <w:pPr>
        <w:pStyle w:val="TextBody"/>
        <w:bidi w:val="0"/>
        <w:spacing w:before="9" w:after="9"/>
        <w:ind w:left="9" w:right="9" w:hanging="0"/>
        <w:jc w:val="left"/>
        <w:rPr/>
      </w:pPr>
      <w:r>
        <w:rPr/>
        <w:t> </w:t>
      </w:r>
    </w:p>
    <w:tbl>
      <w:tblPr>
        <w:tblW w:w="5000" w:type="pct"/>
        <w:jc w:val="left"/>
        <w:tblInd w:w="0" w:type="dxa"/>
        <w:tblLayout w:type="fixed"/>
        <w:tblCellMar>
          <w:top w:w="0" w:type="dxa"/>
          <w:left w:w="0" w:type="dxa"/>
          <w:bottom w:w="0" w:type="dxa"/>
          <w:right w:w="0" w:type="dxa"/>
        </w:tblCellMar>
      </w:tblPr>
      <w:tblGrid>
        <w:gridCol w:w="362"/>
        <w:gridCol w:w="1912"/>
        <w:gridCol w:w="7931"/>
      </w:tblGrid>
      <w:tr>
        <w:trPr/>
        <w:tc>
          <w:tcPr>
            <w:tcW w:w="362"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pPr>
            <w:r>
              <w:rPr/>
              <w:t>7.</w:t>
            </w:r>
          </w:p>
        </w:tc>
        <w:tc>
          <w:tcPr>
            <w:tcW w:w="7931" w:type="dxa"/>
            <w:tcBorders/>
            <w:vAlign w:val="center"/>
          </w:tcPr>
          <w:p>
            <w:pPr>
              <w:pStyle w:val="TableContents"/>
              <w:bidi w:val="0"/>
              <w:spacing w:before="0" w:after="283"/>
              <w:jc w:val="both"/>
              <w:rPr/>
            </w:pPr>
            <w:r>
              <w:rPr/>
              <w:t>Transfer</w:t>
            </w:r>
          </w:p>
        </w:tc>
      </w:tr>
    </w:tbl>
    <w:p>
      <w:pPr>
        <w:pStyle w:val="TextBody"/>
        <w:bidi w:val="0"/>
        <w:spacing w:before="10" w:after="10"/>
        <w:ind w:left="10" w:right="10" w:hanging="0"/>
        <w:jc w:val="left"/>
        <w:rPr/>
      </w:pPr>
      <w:r>
        <w:rPr/>
        <w:t> </w:t>
      </w:r>
    </w:p>
    <w:p>
      <w:pPr>
        <w:pStyle w:val="TextBody"/>
        <w:bidi w:val="0"/>
        <w:ind w:left="278" w:right="189" w:hanging="0"/>
        <w:jc w:val="both"/>
        <w:rPr>
          <w:sz w:val="20"/>
        </w:rPr>
      </w:pPr>
      <w:r>
        <w:rPr>
          <w:sz w:val="20"/>
        </w:rPr>
        <w:t>Subject to Section 6(b)(ii) and to the extent permitted by applicable law, neither this Agreement nor any interest or obligation in or under this Agreement may be transferred (whether by way of security or otherwise) by either party without the prior written consent of the other party, except that:</w:t>
      </w:r>
    </w:p>
    <w:p>
      <w:pPr>
        <w:pStyle w:val="TextBody"/>
        <w:bidi w:val="0"/>
        <w:spacing w:before="7" w:after="7"/>
        <w:ind w:left="7" w:right="7" w:hanging="0"/>
        <w:jc w:val="left"/>
        <w:rPr/>
      </w:pPr>
      <w:r>
        <w:rPr/>
        <w:t> </w:t>
      </w:r>
    </w:p>
    <w:p>
      <w:pPr>
        <w:pStyle w:val="TextBody"/>
        <w:bidi w:val="0"/>
        <w:ind w:left="278" w:right="188" w:hanging="0"/>
        <w:jc w:val="both"/>
        <w:rPr>
          <w:sz w:val="20"/>
        </w:rPr>
      </w:pPr>
      <w:r>
        <w:rPr>
          <w:sz w:val="20"/>
        </w:rPr>
        <w:t>(a)             a party may make such a transfer of this Agreement pursuant to a consolidation or amalgamation with, or merger with or into, or transfer of all or substantially all its assets to, another entity (but without prejudice to any other right or remedy under this Agreement); and</w:t>
      </w:r>
    </w:p>
    <w:p>
      <w:pPr>
        <w:pStyle w:val="TextBody"/>
        <w:bidi w:val="0"/>
        <w:spacing w:before="7" w:after="7"/>
        <w:ind w:left="7" w:right="7" w:hanging="0"/>
        <w:jc w:val="left"/>
        <w:rPr/>
      </w:pPr>
      <w:r>
        <w:rPr/>
        <w:t> </w:t>
      </w:r>
    </w:p>
    <w:p>
      <w:pPr>
        <w:pStyle w:val="TextBody"/>
        <w:bidi w:val="0"/>
        <w:ind w:left="278" w:right="193" w:hanging="0"/>
        <w:jc w:val="both"/>
        <w:rPr>
          <w:sz w:val="20"/>
        </w:rPr>
      </w:pPr>
      <w:r>
        <w:rPr>
          <w:sz w:val="20"/>
        </w:rPr>
        <w:t>(b)            a party may make such a transfer of all or any part of its interest in any Early Termination Amount payable to it by a Defaulting Party, together with any amounts payable on or with respect to that interest and any other rights associated with that interest pursuant to Sections 8, 9(h) and 11.</w:t>
      </w:r>
    </w:p>
    <w:p>
      <w:pPr>
        <w:pStyle w:val="TextBody"/>
        <w:bidi w:val="0"/>
        <w:spacing w:before="7" w:after="7"/>
        <w:ind w:left="7" w:right="7" w:hanging="0"/>
        <w:jc w:val="left"/>
        <w:rPr/>
      </w:pPr>
      <w:r>
        <w:rPr/>
        <w:t> </w:t>
      </w:r>
    </w:p>
    <w:p>
      <w:pPr>
        <w:pStyle w:val="TextBody"/>
        <w:bidi w:val="0"/>
        <w:ind w:left="278" w:right="0" w:hanging="0"/>
        <w:jc w:val="both"/>
        <w:rPr>
          <w:sz w:val="20"/>
        </w:rPr>
      </w:pPr>
      <w:r>
        <w:rPr>
          <w:sz w:val="20"/>
        </w:rPr>
        <w:t>Any purported transfer that is not in compliance with this Section 7 will be void.</w:t>
      </w:r>
    </w:p>
    <w:p>
      <w:pPr>
        <w:pStyle w:val="TextBody"/>
        <w:bidi w:val="0"/>
        <w:spacing w:before="1" w:after="1"/>
        <w:ind w:left="1" w:right="1" w:hanging="0"/>
        <w:jc w:val="left"/>
        <w:rPr/>
      </w:pPr>
      <w:r>
        <w:rPr/>
        <w:t> </w:t>
      </w:r>
    </w:p>
    <w:tbl>
      <w:tblPr>
        <w:tblW w:w="5000" w:type="pct"/>
        <w:jc w:val="left"/>
        <w:tblInd w:w="0" w:type="dxa"/>
        <w:tblLayout w:type="fixed"/>
        <w:tblCellMar>
          <w:top w:w="0" w:type="dxa"/>
          <w:left w:w="0" w:type="dxa"/>
          <w:bottom w:w="0" w:type="dxa"/>
          <w:right w:w="0" w:type="dxa"/>
        </w:tblCellMar>
      </w:tblPr>
      <w:tblGrid>
        <w:gridCol w:w="167"/>
        <w:gridCol w:w="882"/>
        <w:gridCol w:w="9156"/>
      </w:tblGrid>
      <w:tr>
        <w:trPr/>
        <w:tc>
          <w:tcPr>
            <w:tcW w:w="16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pPr>
            <w:r>
              <w:rPr/>
              <w:t>8.</w:t>
            </w:r>
          </w:p>
        </w:tc>
        <w:tc>
          <w:tcPr>
            <w:tcW w:w="9156" w:type="dxa"/>
            <w:tcBorders/>
            <w:vAlign w:val="center"/>
          </w:tcPr>
          <w:p>
            <w:pPr>
              <w:pStyle w:val="TableContents"/>
              <w:bidi w:val="0"/>
              <w:spacing w:before="0" w:after="283"/>
              <w:jc w:val="both"/>
              <w:rPr/>
            </w:pPr>
            <w:r>
              <w:rPr/>
              <w:t>Contractual Currency</w:t>
            </w:r>
          </w:p>
        </w:tc>
      </w:tr>
    </w:tbl>
    <w:p>
      <w:pPr>
        <w:pStyle w:val="TextBody"/>
        <w:bidi w:val="0"/>
        <w:spacing w:before="189" w:after="189"/>
        <w:ind w:left="278" w:right="190" w:hanging="0"/>
        <w:jc w:val="both"/>
        <w:rPr>
          <w:sz w:val="20"/>
        </w:rPr>
      </w:pPr>
      <w:r>
        <w:rPr>
          <w:sz w:val="20"/>
        </w:rPr>
        <w:t xml:space="preserve">(a)             </w:t>
      </w:r>
      <w:r>
        <w:rPr>
          <w:b/>
          <w:i/>
          <w:sz w:val="20"/>
        </w:rPr>
        <w:t xml:space="preserve">Payment in the Contractual Currency. </w:t>
      </w:r>
      <w:r>
        <w:rPr>
          <w:sz w:val="20"/>
        </w:rPr>
        <w:t>Each payment under this Agreement will be made in the relevant currency specified in this Agreement for that payment (the “Contractual Currency”). To the extent permitted by applicable law, any obligation to make payments under this Agreement in the Contractual Currency will not be discharged or satisfied by any tender in any currency other than the Contractual Currency, except to the extent such tender results in the actual receipt by the party to which payment is owed, acting in good faith and using commercially reasonable procedures in converting the currency so tendered into the Contractual Currency, of the full amount in the Contractual Currency of all amounts payable in respect of this Agreement. If for any reason the amount in the Contractual Currency so received falls short of the amount in the Contractual Currency payable in respect of this Agreement, the party required to make the payment will, to the extent permitted by applicable law, immediately pay such additional amount in the Contractual Currency as may be necessary to compensate for the shortfall. If for any reason the amount in the Contractual Currency so received exceeds the amount in the Contractual Currency payable in respect of this Agreement, the party receiving the payment will refund promptly the amount of such excess.</w:t>
      </w:r>
    </w:p>
    <w:p>
      <w:pPr>
        <w:pStyle w:val="TextBody"/>
        <w:bidi w:val="0"/>
        <w:spacing w:before="191" w:after="191"/>
        <w:ind w:left="278" w:right="187" w:hanging="0"/>
        <w:jc w:val="both"/>
        <w:rPr>
          <w:sz w:val="20"/>
        </w:rPr>
      </w:pPr>
      <w:r>
        <w:rPr>
          <w:sz w:val="20"/>
        </w:rPr>
        <w:t xml:space="preserve">(b)            </w:t>
      </w:r>
      <w:r>
        <w:rPr>
          <w:b/>
          <w:i/>
          <w:sz w:val="20"/>
        </w:rPr>
        <w:t xml:space="preserve">Judgments. </w:t>
      </w:r>
      <w:r>
        <w:rPr>
          <w:sz w:val="20"/>
        </w:rPr>
        <w:t>To the extent permitted by applicable law, if any judgment or order expressed in a currency other than the Contractual Currency is rendered (i) for the payment of any amount owing in respect of this Agreement, (ii) for the payment of any amount relating to any early termination in respect of this Agreement or (iii) in respect of a judgment or order of another court for the payment of any amount described in clause (i) or (ii) above, the party seeking recovery, after recovery in full of the aggregate amount to which such party is entitled pursuant to the judgment or order, will be entitled to receive immediately from the other party the amount of any shortfall of the Contractual Currency received by such party as a consequence of sums paid in such other currency and will refund promptly to the other party any excess of the Contractual Currency received by such party as a consequence of sums paid in such other currency if such shortfall or such excess arises or results from any variation between the rate of exchange at which the Contractual Currency is converted into the currency of the judgment or order for the purpose of such judgment or order and the rate of exchange at which such party is able, acting in good faith and using commercially reasonable procedures in converting the currency received into the Contractual Currency, to purchase the Contractual Currency with the amount of the currency of the judgment or order actually received by such party.</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8" w:after="8"/>
        <w:ind w:left="8" w:right="8" w:hanging="0"/>
        <w:jc w:val="left"/>
        <w:rPr/>
      </w:pPr>
      <w:r>
        <w:rPr/>
        <w:t> </w:t>
      </w:r>
    </w:p>
    <w:p>
      <w:pPr>
        <w:pStyle w:val="TextBody"/>
        <w:bidi w:val="0"/>
        <w:ind w:left="278" w:right="192" w:hanging="0"/>
        <w:jc w:val="both"/>
        <w:rPr>
          <w:sz w:val="20"/>
        </w:rPr>
      </w:pPr>
      <w:r>
        <w:rPr>
          <w:sz w:val="20"/>
        </w:rPr>
        <w:t xml:space="preserve">(c)             </w:t>
      </w:r>
      <w:r>
        <w:rPr>
          <w:b/>
          <w:i/>
          <w:sz w:val="20"/>
        </w:rPr>
        <w:t xml:space="preserve">Separate Indemnities. </w:t>
      </w:r>
      <w:r>
        <w:rPr>
          <w:sz w:val="20"/>
        </w:rPr>
        <w:t>To the extent permitted by applicable law, the indemnities in this Section 8 constitute separate and independent obligations from the other obligations in this Agreement, will be enforceable as separate and independent causes of action, will apply notwithstanding any indulgence granted by the party to which any payment is owed and will not be affected by judgment being obtained or claim or proof being made for any other sums payable in respect of this Agreement.</w:t>
      </w:r>
    </w:p>
    <w:p>
      <w:pPr>
        <w:pStyle w:val="TextBody"/>
        <w:bidi w:val="0"/>
        <w:spacing w:before="9" w:after="9"/>
        <w:ind w:left="9" w:right="9" w:hanging="0"/>
        <w:jc w:val="left"/>
        <w:rPr/>
      </w:pPr>
      <w:r>
        <w:rPr/>
        <w:t> </w:t>
      </w:r>
    </w:p>
    <w:p>
      <w:pPr>
        <w:pStyle w:val="TextBody"/>
        <w:bidi w:val="0"/>
        <w:ind w:left="278" w:right="193" w:hanging="0"/>
        <w:jc w:val="both"/>
        <w:rPr>
          <w:sz w:val="20"/>
        </w:rPr>
      </w:pPr>
      <w:r>
        <w:rPr>
          <w:sz w:val="20"/>
        </w:rPr>
        <w:t xml:space="preserve">(d)            </w:t>
      </w:r>
      <w:r>
        <w:rPr>
          <w:b/>
          <w:i/>
          <w:sz w:val="20"/>
        </w:rPr>
        <w:t xml:space="preserve">Evidence of Loss. </w:t>
      </w:r>
      <w:r>
        <w:rPr>
          <w:sz w:val="20"/>
        </w:rPr>
        <w:t>For the purpose of this Section 8, it will be sufficient for a party to demonstrate that it would have suffered a loss had an actual exchange or purchase been made.</w:t>
      </w:r>
    </w:p>
    <w:p>
      <w:pPr>
        <w:pStyle w:val="TextBody"/>
        <w:bidi w:val="0"/>
        <w:spacing w:before="5" w:after="5"/>
        <w:ind w:left="5" w:right="5" w:hanging="0"/>
        <w:jc w:val="left"/>
        <w:rPr/>
      </w:pPr>
      <w:r>
        <w:rPr/>
        <w:t> </w:t>
      </w:r>
    </w:p>
    <w:tbl>
      <w:tblPr>
        <w:tblW w:w="5000" w:type="pct"/>
        <w:jc w:val="left"/>
        <w:tblInd w:w="0" w:type="dxa"/>
        <w:tblLayout w:type="fixed"/>
        <w:tblCellMar>
          <w:top w:w="0" w:type="dxa"/>
          <w:left w:w="0" w:type="dxa"/>
          <w:bottom w:w="0" w:type="dxa"/>
          <w:right w:w="0" w:type="dxa"/>
        </w:tblCellMar>
      </w:tblPr>
      <w:tblGrid>
        <w:gridCol w:w="238"/>
        <w:gridCol w:w="1258"/>
        <w:gridCol w:w="8709"/>
      </w:tblGrid>
      <w:tr>
        <w:trPr/>
        <w:tc>
          <w:tcPr>
            <w:tcW w:w="23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pPr>
            <w:r>
              <w:rPr/>
              <w:t>9.</w:t>
            </w:r>
          </w:p>
        </w:tc>
        <w:tc>
          <w:tcPr>
            <w:tcW w:w="8709" w:type="dxa"/>
            <w:tcBorders/>
            <w:vAlign w:val="center"/>
          </w:tcPr>
          <w:p>
            <w:pPr>
              <w:pStyle w:val="TableContents"/>
              <w:bidi w:val="0"/>
              <w:spacing w:before="0" w:after="283"/>
              <w:jc w:val="both"/>
              <w:rPr/>
            </w:pPr>
            <w:r>
              <w:rPr/>
              <w:t>Miscellaneous</w:t>
            </w:r>
          </w:p>
        </w:tc>
      </w:tr>
    </w:tbl>
    <w:p>
      <w:pPr>
        <w:pStyle w:val="TextBody"/>
        <w:bidi w:val="0"/>
        <w:spacing w:before="190" w:after="190"/>
        <w:ind w:left="278" w:right="188" w:hanging="0"/>
        <w:jc w:val="both"/>
        <w:rPr>
          <w:sz w:val="20"/>
        </w:rPr>
      </w:pPr>
      <w:r>
        <w:rPr>
          <w:sz w:val="20"/>
        </w:rPr>
        <w:t xml:space="preserve">(a)             </w:t>
      </w:r>
      <w:r>
        <w:rPr>
          <w:b/>
          <w:i/>
          <w:sz w:val="20"/>
        </w:rPr>
        <w:t xml:space="preserve">Entire Agreement. </w:t>
      </w:r>
      <w:r>
        <w:rPr>
          <w:sz w:val="20"/>
        </w:rPr>
        <w:t>This Agreement constitutes the entire agreement and understanding of the parties with respect to its subject matter. Each of the parties acknowledges that in entering into this Agreement it has not relied on any oral or written representation, warranty or other assurance (except as provided for or referred to in this Agreement) and waives all rights and remedies which might otherwise be available to it in respect thereof, except that nothing in this Agreement will limit or exclude any liability of a party for fraud.</w:t>
      </w:r>
    </w:p>
    <w:p>
      <w:pPr>
        <w:pStyle w:val="TextBody"/>
        <w:bidi w:val="0"/>
        <w:spacing w:before="186" w:after="186"/>
        <w:ind w:left="278" w:right="190" w:hanging="0"/>
        <w:jc w:val="both"/>
        <w:rPr>
          <w:sz w:val="20"/>
        </w:rPr>
      </w:pPr>
      <w:r>
        <w:rPr>
          <w:sz w:val="20"/>
        </w:rPr>
        <w:t xml:space="preserve">(b)            </w:t>
      </w:r>
      <w:r>
        <w:rPr>
          <w:b/>
          <w:i/>
          <w:sz w:val="20"/>
        </w:rPr>
        <w:t xml:space="preserve">Amendments. </w:t>
      </w:r>
      <w:r>
        <w:rPr>
          <w:sz w:val="20"/>
        </w:rPr>
        <w:t>An amendment, modification or waiver in respect of this Agreement will only be effective if in writing (including a writing evidenced by a facsimile transmission) and executed by each of the parties or confirmed by an exchange of telexes or by an exchange of electronic messages on an electronic messaging system.</w:t>
      </w:r>
    </w:p>
    <w:p>
      <w:pPr>
        <w:pStyle w:val="TextBody"/>
        <w:bidi w:val="0"/>
        <w:spacing w:before="1" w:after="1"/>
        <w:ind w:left="1" w:right="1" w:hanging="0"/>
        <w:jc w:val="left"/>
        <w:rPr/>
      </w:pPr>
      <w:r>
        <w:rPr/>
        <w:t> </w:t>
      </w:r>
    </w:p>
    <w:p>
      <w:pPr>
        <w:pStyle w:val="TextBody"/>
        <w:bidi w:val="0"/>
        <w:ind w:left="278" w:right="193" w:hanging="0"/>
        <w:jc w:val="both"/>
        <w:rPr>
          <w:sz w:val="20"/>
        </w:rPr>
      </w:pPr>
      <w:r>
        <w:rPr>
          <w:sz w:val="20"/>
        </w:rPr>
        <w:t xml:space="preserve">(c)             </w:t>
      </w:r>
      <w:r>
        <w:rPr>
          <w:b/>
          <w:i/>
          <w:sz w:val="20"/>
        </w:rPr>
        <w:t xml:space="preserve">Survival of Obligations. </w:t>
      </w:r>
      <w:r>
        <w:rPr>
          <w:sz w:val="20"/>
        </w:rPr>
        <w:t>Without prejudice to Sections 2(a)(iii) and 6(c)(ii), the obligations of the parties under this Agreement will survive the termination of any Transaction.</w:t>
      </w:r>
    </w:p>
    <w:p>
      <w:pPr>
        <w:pStyle w:val="TextBody"/>
        <w:bidi w:val="0"/>
        <w:spacing w:before="195" w:after="195"/>
        <w:ind w:left="278" w:right="193" w:hanging="0"/>
        <w:jc w:val="both"/>
        <w:rPr>
          <w:sz w:val="20"/>
        </w:rPr>
      </w:pPr>
      <w:r>
        <w:rPr>
          <w:sz w:val="20"/>
        </w:rPr>
        <w:t xml:space="preserve">(d)            </w:t>
      </w:r>
      <w:r>
        <w:rPr>
          <w:b/>
          <w:i/>
          <w:sz w:val="20"/>
        </w:rPr>
        <w:t xml:space="preserve">Remedies Cumulative. </w:t>
      </w:r>
      <w:r>
        <w:rPr>
          <w:sz w:val="20"/>
        </w:rPr>
        <w:t>Except as provided in this Agreement, the rights, powers, remedies and privileges provided in this Agreement are cumulative and not exclusive of any rights, powers, remedies and privileges provided by law.</w:t>
      </w:r>
    </w:p>
    <w:p>
      <w:pPr>
        <w:pStyle w:val="TextBody"/>
        <w:bidi w:val="0"/>
        <w:spacing w:before="175" w:after="175"/>
        <w:ind w:left="986" w:right="175" w:hanging="709"/>
        <w:jc w:val="both"/>
        <w:rPr>
          <w:b/>
          <w:i/>
          <w:sz w:val="20"/>
        </w:rPr>
      </w:pPr>
      <w:r>
        <w:rPr>
          <w:b w:val="false"/>
          <w:i w:val="false"/>
          <w:caps w:val="false"/>
          <w:smallCaps w:val="false"/>
          <w:sz w:val="20"/>
        </w:rPr>
        <w:t xml:space="preserve">(e)             </w:t>
      </w:r>
      <w:r>
        <w:rPr>
          <w:b/>
          <w:i/>
          <w:sz w:val="20"/>
        </w:rPr>
        <w:t>Counterparts and Confirmations.</w:t>
      </w:r>
    </w:p>
    <w:p>
      <w:pPr>
        <w:pStyle w:val="TextBody"/>
        <w:bidi w:val="0"/>
        <w:spacing w:before="12" w:after="12"/>
        <w:ind w:left="12" w:right="12" w:hanging="0"/>
        <w:jc w:val="left"/>
        <w:rPr/>
      </w:pPr>
      <w:r>
        <w:rPr/>
        <w:t> </w:t>
      </w:r>
    </w:p>
    <w:p>
      <w:pPr>
        <w:pStyle w:val="TextBody"/>
        <w:bidi w:val="0"/>
        <w:ind w:left="986" w:right="191" w:hanging="0"/>
        <w:jc w:val="both"/>
        <w:rPr>
          <w:sz w:val="20"/>
        </w:rPr>
      </w:pPr>
      <w:r>
        <w:rPr>
          <w:sz w:val="20"/>
        </w:rPr>
        <w:t>(i)             This Agreement (and each amendment, modification and waiver in respect of it) may be executed and delivered in counterparts (including by facsimile transmission and by electronic messaging system), each of which will be deemed an original.</w:t>
      </w:r>
    </w:p>
    <w:p>
      <w:pPr>
        <w:pStyle w:val="TextBody"/>
        <w:bidi w:val="0"/>
        <w:spacing w:before="7" w:after="7"/>
        <w:ind w:left="7" w:right="7" w:hanging="0"/>
        <w:jc w:val="left"/>
        <w:rPr/>
      </w:pPr>
      <w:r>
        <w:rPr/>
        <w:t> </w:t>
      </w:r>
    </w:p>
    <w:p>
      <w:pPr>
        <w:pStyle w:val="TextBody"/>
        <w:bidi w:val="0"/>
        <w:ind w:left="986" w:right="188" w:hanging="0"/>
        <w:jc w:val="both"/>
        <w:rPr>
          <w:sz w:val="20"/>
        </w:rPr>
      </w:pPr>
      <w:r>
        <w:rPr>
          <w:sz w:val="20"/>
        </w:rPr>
        <w:t>(ii)            The parties intend that they are legally bound by the terms of each Transaction from the moment they agree to those terms (whether orally or otherwise). A Confirmation will be entered into as soon as practicable and may be executed and delivered in counterparts (including by facsimile transmission) or be created by an exchange of telexes, by an exchange of electronic messages on an electronic messaging system or by an exchange of e-mails, which in each case will be sufficient for all purposes to evidence a binding supplement to this Agreement. The parties will specify therein or through another effective means that any such counterpart, telex, electronic message or e-mail constitutes a Confirmation.</w:t>
      </w:r>
    </w:p>
    <w:p>
      <w:pPr>
        <w:pStyle w:val="TextBody"/>
        <w:bidi w:val="0"/>
        <w:spacing w:before="0" w:after="283"/>
        <w:jc w:val="left"/>
        <w:rPr/>
      </w:pPr>
      <w:r>
        <w:rPr/>
        <w:t> </w:t>
      </w:r>
    </w:p>
    <w:p>
      <w:pPr>
        <w:pStyle w:val="TextBody"/>
        <w:bidi w:val="0"/>
        <w:ind w:left="278" w:right="192" w:hanging="0"/>
        <w:jc w:val="both"/>
        <w:rPr>
          <w:sz w:val="20"/>
        </w:rPr>
      </w:pPr>
      <w:r>
        <w:rPr>
          <w:sz w:val="20"/>
        </w:rPr>
        <w:t xml:space="preserve">(f)             </w:t>
      </w:r>
      <w:r>
        <w:rPr>
          <w:b/>
          <w:i/>
          <w:sz w:val="20"/>
        </w:rPr>
        <w:t xml:space="preserve">No Waiver of Rights. </w:t>
      </w:r>
      <w:r>
        <w:rPr>
          <w:sz w:val="20"/>
        </w:rPr>
        <w:t>A failure or delay in exercising any right, power or privilege in respect of this Agreement will not be presumed to operate as a waiver, and a single or partial exercise of any right, power or privilege will not be presumed to preclude any subsequent or further exercise, of that right, power or privilege or the exercise of any other right, power or privilege.</w:t>
      </w:r>
    </w:p>
    <w:p>
      <w:pPr>
        <w:pStyle w:val="TextBody"/>
        <w:bidi w:val="0"/>
        <w:spacing w:before="8" w:after="8"/>
        <w:ind w:left="8" w:right="8" w:hanging="0"/>
        <w:jc w:val="left"/>
        <w:rPr/>
      </w:pPr>
      <w:r>
        <w:rPr/>
        <w:t> </w:t>
      </w:r>
    </w:p>
    <w:p>
      <w:pPr>
        <w:pStyle w:val="TextBody"/>
        <w:bidi w:val="0"/>
        <w:ind w:left="278" w:right="193" w:hanging="0"/>
        <w:jc w:val="both"/>
        <w:rPr>
          <w:sz w:val="20"/>
        </w:rPr>
      </w:pPr>
      <w:r>
        <w:rPr>
          <w:sz w:val="20"/>
        </w:rPr>
        <w:t xml:space="preserve">(g)            </w:t>
      </w:r>
      <w:r>
        <w:rPr>
          <w:b/>
          <w:i/>
          <w:sz w:val="20"/>
        </w:rPr>
        <w:t xml:space="preserve">Headings. </w:t>
      </w:r>
      <w:r>
        <w:rPr>
          <w:sz w:val="20"/>
        </w:rPr>
        <w:t>The headings used in this Agreement are for convenience of reference only and are not to affect the construction of or to be taken into consideration in interpreting this Agreement.</w:t>
      </w:r>
    </w:p>
    <w:p>
      <w:pPr>
        <w:pStyle w:val="TextBody"/>
        <w:bidi w:val="0"/>
        <w:ind w:left="278" w:right="193"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31"/>
        <w:gridCol w:w="1006"/>
        <w:gridCol w:w="9068"/>
      </w:tblGrid>
      <w:tr>
        <w:trPr/>
        <w:tc>
          <w:tcPr>
            <w:tcW w:w="13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(h)</w:t>
            </w:r>
          </w:p>
        </w:tc>
        <w:tc>
          <w:tcPr>
            <w:tcW w:w="9068" w:type="dxa"/>
            <w:tcBorders/>
            <w:vAlign w:val="center"/>
          </w:tcPr>
          <w:p>
            <w:pPr>
              <w:pStyle w:val="TableContents"/>
              <w:bidi w:val="0"/>
              <w:spacing w:before="0" w:after="283"/>
              <w:jc w:val="left"/>
              <w:rPr/>
            </w:pPr>
            <w:r>
              <w:rPr/>
              <w:t>Interest and Compensation.</w:t>
            </w:r>
          </w:p>
        </w:tc>
      </w:tr>
    </w:tbl>
    <w:p>
      <w:pPr>
        <w:pStyle w:val="TextBody"/>
        <w:bidi w:val="0"/>
        <w:spacing w:before="166" w:after="166"/>
        <w:ind w:left="986" w:right="190" w:hanging="0"/>
        <w:jc w:val="left"/>
        <w:rPr>
          <w:sz w:val="20"/>
        </w:rPr>
      </w:pPr>
      <w:r>
        <w:rPr>
          <w:sz w:val="20"/>
        </w:rPr>
        <w:t xml:space="preserve">(i)             </w:t>
      </w:r>
      <w:r>
        <w:rPr>
          <w:b/>
          <w:i/>
          <w:sz w:val="20"/>
        </w:rPr>
        <w:t xml:space="preserve">Prior to Early Termination. </w:t>
      </w:r>
      <w:r>
        <w:rPr>
          <w:sz w:val="20"/>
        </w:rPr>
        <w:t>Prior to the occurrence or effective designation of an Early Termination Date in respect of the relevant Transaction:</w:t>
      </w:r>
    </w:p>
    <w:p>
      <w:pPr>
        <w:pStyle w:val="TextBody"/>
        <w:bidi w:val="0"/>
        <w:spacing w:before="3" w:after="3"/>
        <w:ind w:left="3" w:right="3" w:hanging="0"/>
        <w:jc w:val="left"/>
        <w:rPr/>
      </w:pPr>
      <w:r>
        <w:rPr/>
        <w:t> </w:t>
      </w:r>
    </w:p>
    <w:p>
      <w:pPr>
        <w:pStyle w:val="TextBody"/>
        <w:bidi w:val="0"/>
        <w:ind w:left="1696" w:right="191" w:hanging="0"/>
        <w:jc w:val="both"/>
        <w:rPr>
          <w:sz w:val="20"/>
        </w:rPr>
      </w:pPr>
      <w:r>
        <w:rPr>
          <w:sz w:val="20"/>
        </w:rPr>
        <w:t xml:space="preserve">(1)            </w:t>
      </w:r>
      <w:r>
        <w:rPr>
          <w:i/>
          <w:sz w:val="20"/>
        </w:rPr>
        <w:t xml:space="preserve">Interest on Defaulted Payments. </w:t>
      </w:r>
      <w:r>
        <w:rPr>
          <w:sz w:val="20"/>
        </w:rPr>
        <w:t>If a party defaults in the performance of any payment obligation, it will, to the extent permitted by applicable law and subject to Section 6(c), pay interest (before as well as after judgment) on the overdue amount to the other party on demand in the same currency as the overdue amount, for the period from (and including) the original due date for payment to (but excluding) the date of actual payment (and excluding any period in respect of which interest or compensation in respect of the overdue amount is due pursuant to clause (3)(B) or (A) below), at the Default Rate.</w:t>
      </w:r>
    </w:p>
    <w:p>
      <w:pPr>
        <w:pStyle w:val="TextBody"/>
        <w:bidi w:val="0"/>
        <w:spacing w:before="10" w:after="10"/>
        <w:ind w:left="10" w:right="10" w:hanging="0"/>
        <w:jc w:val="left"/>
        <w:rPr/>
      </w:pPr>
      <w:r>
        <w:rPr/>
        <w:t> </w:t>
      </w:r>
    </w:p>
    <w:p>
      <w:pPr>
        <w:pStyle w:val="TextBody"/>
        <w:bidi w:val="0"/>
        <w:spacing w:before="1" w:after="1"/>
        <w:ind w:left="1696" w:right="190" w:hanging="0"/>
        <w:jc w:val="both"/>
        <w:rPr>
          <w:sz w:val="20"/>
        </w:rPr>
      </w:pPr>
      <w:r>
        <w:rPr>
          <w:sz w:val="20"/>
        </w:rPr>
        <w:t xml:space="preserve">(2)            </w:t>
      </w:r>
      <w:r>
        <w:rPr>
          <w:i/>
          <w:sz w:val="20"/>
        </w:rPr>
        <w:t xml:space="preserve">Compensation for Defaulted Deliveries. </w:t>
      </w:r>
      <w:r>
        <w:rPr>
          <w:sz w:val="20"/>
        </w:rPr>
        <w:t>If a party defaults in the performance of any obligation required to be settled by delivery, it will on demand (A) compensate the other party to the extent provided for in the relevant Confirmation or elsewhere in this Agreement and (B) unless otherwise provided in the relevant Confirmation or elsewhere in this Agreement, to the extent permitted by applicable law and subject to Section 6(c), pay to the other party interest (before as well as after judgment) on an amount equal to the fair market value of that which was required to be delivered in the same currency as that amount, for the period from (and including) the originally scheduled date for delivery to (but excluding) the date of actual delivery (and excluding any period in respect of which interest or compensation in respect of that amount is due pursuant to clause (4) below), at the Default Rate. The fair market value of any obligation referred to above will be determined as of the originally scheduled date for delivery, in good faith and using commercially reasonable procedures, by the party that was entitled to take delivery.</w:t>
      </w:r>
    </w:p>
    <w:p>
      <w:pPr>
        <w:pStyle w:val="TextBody"/>
        <w:bidi w:val="0"/>
        <w:spacing w:before="1" w:after="1"/>
        <w:ind w:left="1" w:right="1" w:hanging="0"/>
        <w:jc w:val="left"/>
        <w:rPr/>
      </w:pPr>
      <w:r>
        <w:rPr/>
        <w:t> </w:t>
      </w:r>
    </w:p>
    <w:tbl>
      <w:tblPr>
        <w:tblW w:w="5000" w:type="pct"/>
        <w:jc w:val="left"/>
        <w:tblInd w:w="0" w:type="dxa"/>
        <w:tblLayout w:type="fixed"/>
        <w:tblCellMar>
          <w:top w:w="0" w:type="dxa"/>
          <w:left w:w="0" w:type="dxa"/>
          <w:bottom w:w="0" w:type="dxa"/>
          <w:right w:w="0" w:type="dxa"/>
        </w:tblCellMar>
      </w:tblPr>
      <w:tblGrid>
        <w:gridCol w:w="107"/>
        <w:gridCol w:w="821"/>
        <w:gridCol w:w="9277"/>
      </w:tblGrid>
      <w:tr>
        <w:trPr/>
        <w:tc>
          <w:tcPr>
            <w:tcW w:w="10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pPr>
            <w:r>
              <w:rPr/>
              <w:t>(3)</w:t>
            </w:r>
          </w:p>
        </w:tc>
        <w:tc>
          <w:tcPr>
            <w:tcW w:w="9277" w:type="dxa"/>
            <w:tcBorders/>
            <w:vAlign w:val="center"/>
          </w:tcPr>
          <w:p>
            <w:pPr>
              <w:pStyle w:val="TableContents"/>
              <w:bidi w:val="0"/>
              <w:spacing w:before="0" w:after="283"/>
              <w:jc w:val="both"/>
              <w:rPr/>
            </w:pPr>
            <w:r>
              <w:rPr>
                <w:i/>
              </w:rPr>
              <w:t xml:space="preserve">Interest on Deferred Payments. </w:t>
            </w:r>
            <w:r>
              <w:rPr/>
              <w:t>If:</w:t>
            </w:r>
          </w:p>
        </w:tc>
      </w:tr>
    </w:tbl>
    <w:p>
      <w:pPr>
        <w:pStyle w:val="TextBody"/>
        <w:bidi w:val="0"/>
        <w:spacing w:before="10" w:after="10"/>
        <w:ind w:left="10" w:right="10" w:hanging="0"/>
        <w:jc w:val="left"/>
        <w:rPr/>
      </w:pPr>
      <w:r>
        <w:rPr/>
        <w:t> </w:t>
      </w:r>
    </w:p>
    <w:p>
      <w:pPr>
        <w:pStyle w:val="TextBody"/>
        <w:bidi w:val="0"/>
        <w:ind w:left="2404" w:right="189" w:hanging="0"/>
        <w:jc w:val="both"/>
        <w:rPr>
          <w:sz w:val="20"/>
        </w:rPr>
      </w:pPr>
      <w:r>
        <w:rPr>
          <w:sz w:val="20"/>
        </w:rPr>
        <w:t>(A)           a party does not pay any amount that, but for Section 2(a)(iii), would have been payable, it will, to the extent permitted by applicable law and subject to Section 6(c) and clauses (B) and (C) below, pay interest (before as well as after judgment) on that amount to the other party on demand (after such amount becomes payable) in the same currency as that amount, for the period from (and including) the date the amount would, but for Section 2(a)(iii), have been payable to (but excluding) the date the amount actually becomes payable, at the Applicable Deferral Rate;</w:t>
      </w:r>
    </w:p>
    <w:p>
      <w:pPr>
        <w:pStyle w:val="TextBody"/>
        <w:bidi w:val="0"/>
        <w:spacing w:before="9" w:after="9"/>
        <w:ind w:left="9" w:right="9" w:hanging="0"/>
        <w:jc w:val="left"/>
        <w:rPr/>
      </w:pPr>
      <w:r>
        <w:rPr/>
        <w:t> </w:t>
      </w:r>
    </w:p>
    <w:p>
      <w:pPr>
        <w:pStyle w:val="TextBody"/>
        <w:bidi w:val="0"/>
        <w:spacing w:before="1" w:after="1"/>
        <w:ind w:left="2404" w:right="191" w:hanging="0"/>
        <w:jc w:val="both"/>
        <w:rPr>
          <w:sz w:val="20"/>
        </w:rPr>
      </w:pPr>
      <w:r>
        <w:rPr>
          <w:sz w:val="20"/>
        </w:rPr>
        <w:t>(B)           a payment is deferred pursuant to Section 5(d), the party which would otherwise have been required to make that payment will, to the extent permitted by applicable law, subject to Section 6(c) and for so long as no Event of Default or Potential Event of Default with respect to that party has occurred and is continuing, pay interest (before as well as after judgment) on the amount of the deferred payment to the other party on demand (after such amount becomes payable) in the same currency as the deferred payment, for the period from (and including) the date the amount would, but for Section 5(d), have been payable to (but excluding) the earlier of the date the payment is no longer deferred pursuant to Section 5(d) and the date during the deferral period upon which an Event of Default or Potential Event of Default with respect to that party occurs, at the Applicable Deferral Rate; or</w:t>
      </w:r>
    </w:p>
    <w:p>
      <w:pPr>
        <w:pStyle w:val="TextBody"/>
        <w:bidi w:val="0"/>
        <w:spacing w:before="0" w:after="283"/>
        <w:jc w:val="left"/>
        <w:rPr/>
      </w:pPr>
      <w:r>
        <w:rPr/>
        <w:t> </w:t>
      </w:r>
    </w:p>
    <w:p>
      <w:pPr>
        <w:pStyle w:val="TextBody"/>
        <w:bidi w:val="0"/>
        <w:ind w:left="2404" w:right="192" w:hanging="0"/>
        <w:jc w:val="both"/>
        <w:rPr>
          <w:sz w:val="20"/>
        </w:rPr>
      </w:pPr>
      <w:r>
        <w:rPr>
          <w:sz w:val="20"/>
        </w:rPr>
        <w:t>(C)           a party fails to make any payment due to the occurrence of an Illegality or a Force Majeure Event (after giving effect to any deferral period contemplated by clause (B) above), it will, to the extent permitted by applicable law, subject to Section 6(c) and for so long as the event or circumstance giving rise to that Illegality or Force Majeure Event continues and no Event of Default or Potential Event of Default with respect to that party has occurred and is continuing, pay interest (before as well as after judgment) on the overdue amount to the other party on demand in the same currency as the overdue amount, for the period from (and including) the date the party fails to make the payment due to the occurrence of the relevant Illegality or Force Majeure Event (or, if later, the date the payment is no longer deferred pursuant to Section 5(d)) to (but excluding) the earlier of the date the event or circumstance giving rise to that Illegality or Force Majeure Event ceases to exist and the date during the period upon which an Event of Default or Potential Event of Default with respect to that party occurs (and excluding any period in respect of which interest or compensation in respect of the overdue amount is due pursuant to clause (B) above), at the Applicable Deferral Rate.</w:t>
      </w:r>
    </w:p>
    <w:p>
      <w:pPr>
        <w:pStyle w:val="TextBody"/>
        <w:bidi w:val="0"/>
        <w:ind w:left="2404" w:right="192"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89"/>
        <w:gridCol w:w="682"/>
        <w:gridCol w:w="9434"/>
      </w:tblGrid>
      <w:tr>
        <w:trPr/>
        <w:tc>
          <w:tcPr>
            <w:tcW w:w="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pPr>
            <w:r>
              <w:rPr/>
              <w:t>(4)</w:t>
            </w:r>
          </w:p>
        </w:tc>
        <w:tc>
          <w:tcPr>
            <w:tcW w:w="9434" w:type="dxa"/>
            <w:tcBorders/>
            <w:vAlign w:val="center"/>
          </w:tcPr>
          <w:p>
            <w:pPr>
              <w:pStyle w:val="TableContents"/>
              <w:bidi w:val="0"/>
              <w:spacing w:before="0" w:after="283"/>
              <w:jc w:val="both"/>
              <w:rPr/>
            </w:pPr>
            <w:r>
              <w:rPr>
                <w:i/>
              </w:rPr>
              <w:t xml:space="preserve">Compensation for Deferred Deliveries. </w:t>
            </w:r>
            <w:r>
              <w:rPr/>
              <w:t>If:</w:t>
            </w:r>
          </w:p>
        </w:tc>
      </w:tr>
    </w:tbl>
    <w:p>
      <w:pPr>
        <w:pStyle w:val="TextBody"/>
        <w:bidi w:val="0"/>
        <w:spacing w:before="10" w:after="10"/>
        <w:ind w:left="10" w:right="1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338"/>
        <w:gridCol w:w="9829"/>
      </w:tblGrid>
      <w:tr>
        <w:trPr/>
        <w:tc>
          <w:tcPr>
            <w:tcW w:w="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(A)</w:t>
            </w:r>
          </w:p>
        </w:tc>
        <w:tc>
          <w:tcPr>
            <w:tcW w:w="9829" w:type="dxa"/>
            <w:tcBorders/>
            <w:vAlign w:val="center"/>
          </w:tcPr>
          <w:p>
            <w:pPr>
              <w:pStyle w:val="TableContents"/>
              <w:bidi w:val="0"/>
              <w:spacing w:before="0" w:after="283"/>
              <w:jc w:val="left"/>
              <w:rPr/>
            </w:pPr>
            <w:r>
              <w:rPr/>
              <w:t>a party does not perform any obligation that, but for Section 2(a)(iii), would have been required to be settled by delivery;</w:t>
            </w:r>
          </w:p>
        </w:tc>
      </w:tr>
    </w:tbl>
    <w:p>
      <w:pPr>
        <w:pStyle w:val="TextBody"/>
        <w:bidi w:val="0"/>
        <w:spacing w:before="6" w:after="6"/>
        <w:ind w:left="6" w:right="6" w:hanging="0"/>
        <w:jc w:val="left"/>
        <w:rPr/>
      </w:pPr>
      <w:r>
        <w:rPr/>
        <w:t> </w:t>
      </w:r>
    </w:p>
    <w:tbl>
      <w:tblPr>
        <w:tblW w:w="5000" w:type="pct"/>
        <w:jc w:val="left"/>
        <w:tblInd w:w="0" w:type="dxa"/>
        <w:tblLayout w:type="fixed"/>
        <w:tblCellMar>
          <w:top w:w="0" w:type="dxa"/>
          <w:left w:w="0" w:type="dxa"/>
          <w:bottom w:w="0" w:type="dxa"/>
          <w:right w:w="0" w:type="dxa"/>
        </w:tblCellMar>
      </w:tblPr>
      <w:tblGrid>
        <w:gridCol w:w="77"/>
        <w:gridCol w:w="679"/>
        <w:gridCol w:w="9449"/>
      </w:tblGrid>
      <w:tr>
        <w:trPr/>
        <w:tc>
          <w:tcPr>
            <w:tcW w:w="7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pPr>
            <w:r>
              <w:rPr/>
              <w:t>(B)</w:t>
            </w:r>
          </w:p>
        </w:tc>
        <w:tc>
          <w:tcPr>
            <w:tcW w:w="9449" w:type="dxa"/>
            <w:tcBorders/>
            <w:vAlign w:val="center"/>
          </w:tcPr>
          <w:p>
            <w:pPr>
              <w:pStyle w:val="TableContents"/>
              <w:bidi w:val="0"/>
              <w:spacing w:before="0" w:after="283"/>
              <w:jc w:val="both"/>
              <w:rPr/>
            </w:pPr>
            <w:r>
              <w:rPr/>
              <w:t>a delivery is deferred pursuant to Section 5(d);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09"/>
        <w:gridCol w:w="9858"/>
      </w:tblGrid>
      <w:tr>
        <w:trPr/>
        <w:tc>
          <w:tcPr>
            <w:tcW w:w="3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(C)</w:t>
            </w:r>
          </w:p>
        </w:tc>
        <w:tc>
          <w:tcPr>
            <w:tcW w:w="9858" w:type="dxa"/>
            <w:tcBorders/>
            <w:vAlign w:val="center"/>
          </w:tcPr>
          <w:p>
            <w:pPr>
              <w:pStyle w:val="TableContents"/>
              <w:bidi w:val="0"/>
              <w:spacing w:before="0" w:after="283"/>
              <w:jc w:val="left"/>
              <w:rPr/>
            </w:pPr>
            <w:r>
              <w:rPr/>
              <w:t>a party fails to make a delivery due to the occurrence of an Illegality or a Force Majeure Event at a time when any applicable Waiting Period has expired,</w:t>
            </w:r>
          </w:p>
        </w:tc>
      </w:tr>
    </w:tbl>
    <w:p>
      <w:pPr>
        <w:pStyle w:val="TextBody"/>
        <w:bidi w:val="0"/>
        <w:spacing w:before="6" w:after="6"/>
        <w:ind w:left="6" w:right="6" w:hanging="0"/>
        <w:jc w:val="left"/>
        <w:rPr/>
      </w:pPr>
      <w:r>
        <w:rPr/>
        <w:t> </w:t>
      </w:r>
    </w:p>
    <w:p>
      <w:pPr>
        <w:pStyle w:val="TextBody"/>
        <w:bidi w:val="0"/>
        <w:ind w:left="1696" w:right="190" w:hanging="0"/>
        <w:jc w:val="both"/>
        <w:rPr>
          <w:sz w:val="20"/>
        </w:rPr>
      </w:pPr>
      <w:r>
        <w:rPr>
          <w:sz w:val="20"/>
        </w:rPr>
        <w:t>the party required (or that would otherwise have been required) to make the delivery will, to the extent permitted by applicable law and subject to Section 6(c), compensate and pay interest to the other party on demand (after, in the case of clauses (A) and (B) above, such delivery is required) if and to the extent provided for in the relevant Confirmation or elsewhere in this Agreement.</w:t>
      </w:r>
    </w:p>
    <w:p>
      <w:pPr>
        <w:pStyle w:val="TextBody"/>
        <w:bidi w:val="0"/>
        <w:spacing w:before="10" w:after="10"/>
        <w:ind w:left="10" w:right="10" w:hanging="0"/>
        <w:jc w:val="left"/>
        <w:rPr/>
      </w:pPr>
      <w:r>
        <w:rPr/>
        <w:t> </w:t>
      </w:r>
    </w:p>
    <w:p>
      <w:pPr>
        <w:pStyle w:val="TextBody"/>
        <w:bidi w:val="0"/>
        <w:ind w:left="986" w:right="193" w:hanging="0"/>
        <w:jc w:val="both"/>
        <w:rPr>
          <w:sz w:val="20"/>
        </w:rPr>
      </w:pPr>
      <w:r>
        <w:rPr>
          <w:sz w:val="20"/>
        </w:rPr>
        <w:t xml:space="preserve">(ii)            </w:t>
      </w:r>
      <w:r>
        <w:rPr>
          <w:b/>
          <w:i/>
          <w:sz w:val="20"/>
        </w:rPr>
        <w:t xml:space="preserve">Early Termination. </w:t>
      </w:r>
      <w:r>
        <w:rPr>
          <w:sz w:val="20"/>
        </w:rPr>
        <w:t>Upon the occurrence or effective designation of an Early Termination Date in respect of a Transaction:</w:t>
      </w:r>
    </w:p>
    <w:p>
      <w:pPr>
        <w:pStyle w:val="TextBody"/>
        <w:bidi w:val="0"/>
        <w:spacing w:before="4" w:after="4"/>
        <w:ind w:left="4" w:right="4" w:hanging="0"/>
        <w:jc w:val="left"/>
        <w:rPr/>
      </w:pPr>
      <w:r>
        <w:rPr/>
        <w:t> </w:t>
      </w:r>
    </w:p>
    <w:p>
      <w:pPr>
        <w:pStyle w:val="TextBody"/>
        <w:bidi w:val="0"/>
        <w:ind w:left="1696" w:right="191" w:hanging="0"/>
        <w:jc w:val="both"/>
        <w:rPr>
          <w:sz w:val="20"/>
        </w:rPr>
      </w:pPr>
      <w:r>
        <w:rPr>
          <w:sz w:val="20"/>
        </w:rPr>
        <w:t xml:space="preserve">(1)            </w:t>
      </w:r>
      <w:r>
        <w:rPr>
          <w:i/>
          <w:sz w:val="20"/>
        </w:rPr>
        <w:t xml:space="preserve">Unpaid Amounts. </w:t>
      </w:r>
      <w:r>
        <w:rPr>
          <w:sz w:val="20"/>
        </w:rPr>
        <w:t>For the purpose of determining an Unpaid Amount in respect of the relevant Transaction, and to the extent permitted by applicable law, interest will accrue on the amount of any payment obligation or the amount equal to the fair market value of any obligation required to be settled by delivery included in such determination in the same currency as that amount, for the period from (and including) the date the relevant obligation was (or would have been but for Section 2(a)(iii) or 5(d)) required to have been performed to (but excluding) the relevant Early Termination Date, at the Applicable Close-out Rate.</w:t>
      </w:r>
    </w:p>
    <w:p>
      <w:pPr>
        <w:pStyle w:val="TextBody"/>
        <w:bidi w:val="0"/>
        <w:spacing w:before="11" w:after="11"/>
        <w:ind w:left="11" w:right="11" w:hanging="0"/>
        <w:jc w:val="left"/>
        <w:rPr/>
      </w:pPr>
      <w:r>
        <w:rPr/>
        <w:t> </w:t>
      </w:r>
    </w:p>
    <w:p>
      <w:pPr>
        <w:pStyle w:val="TextBody"/>
        <w:bidi w:val="0"/>
        <w:ind w:left="1696" w:right="191" w:hanging="0"/>
        <w:jc w:val="both"/>
        <w:rPr>
          <w:sz w:val="20"/>
        </w:rPr>
      </w:pPr>
      <w:r>
        <w:rPr>
          <w:sz w:val="20"/>
        </w:rPr>
        <w:t xml:space="preserve">(2)            </w:t>
      </w:r>
      <w:r>
        <w:rPr>
          <w:i/>
          <w:sz w:val="20"/>
        </w:rPr>
        <w:t xml:space="preserve">Interest on Early Termination Amounts. </w:t>
      </w:r>
      <w:r>
        <w:rPr>
          <w:sz w:val="20"/>
        </w:rPr>
        <w:t>If an Early Termination Amount is due in respect of such Early Termination Date, that amount will, to the extent permitted by applicable law, be paid together with interest (before as well as after judgment) on that amount in the Termination Currency, for the period from (and including) such Early Termination Date to (but excluding) the date the amount is paid, at the Applicable Close-out Rate.</w:t>
      </w:r>
    </w:p>
    <w:p>
      <w:pPr>
        <w:pStyle w:val="TextBody"/>
        <w:bidi w:val="0"/>
        <w:spacing w:before="10" w:after="10"/>
        <w:ind w:left="10" w:right="10" w:hanging="0"/>
        <w:jc w:val="left"/>
        <w:rPr/>
      </w:pPr>
      <w:r>
        <w:rPr/>
        <w:t> </w:t>
      </w:r>
    </w:p>
    <w:p>
      <w:pPr>
        <w:pStyle w:val="TextBody"/>
        <w:bidi w:val="0"/>
        <w:ind w:left="986" w:right="191" w:hanging="0"/>
        <w:jc w:val="both"/>
        <w:rPr>
          <w:sz w:val="20"/>
        </w:rPr>
      </w:pPr>
      <w:r>
        <w:rPr>
          <w:sz w:val="20"/>
        </w:rPr>
        <w:t xml:space="preserve">(iii)           </w:t>
      </w:r>
      <w:r>
        <w:rPr>
          <w:b/>
          <w:i/>
          <w:sz w:val="20"/>
        </w:rPr>
        <w:t xml:space="preserve">Interest Calculation. </w:t>
      </w:r>
      <w:r>
        <w:rPr>
          <w:sz w:val="20"/>
        </w:rPr>
        <w:t>Any interest pursuant to this Section 9(h) will be calculated on the basis of daily compounding and the actual number of days elapsed.</w:t>
      </w:r>
    </w:p>
    <w:p>
      <w:pPr>
        <w:pStyle w:val="TextBody"/>
        <w:bidi w:val="0"/>
        <w:ind w:left="986" w:right="191"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27"/>
        <w:gridCol w:w="1071"/>
        <w:gridCol w:w="9007"/>
      </w:tblGrid>
      <w:tr>
        <w:trPr/>
        <w:tc>
          <w:tcPr>
            <w:tcW w:w="127"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pPr>
            <w:r>
              <w:rPr/>
              <w:t>10.</w:t>
            </w:r>
          </w:p>
        </w:tc>
        <w:tc>
          <w:tcPr>
            <w:tcW w:w="9007" w:type="dxa"/>
            <w:tcBorders/>
            <w:vAlign w:val="center"/>
          </w:tcPr>
          <w:p>
            <w:pPr>
              <w:pStyle w:val="TableContents"/>
              <w:bidi w:val="0"/>
              <w:spacing w:before="0" w:after="283"/>
              <w:jc w:val="both"/>
              <w:rPr/>
            </w:pPr>
            <w:r>
              <w:rPr/>
              <w:t>Offices; Multibranch Parties</w:t>
            </w:r>
          </w:p>
        </w:tc>
      </w:tr>
    </w:tbl>
    <w:p>
      <w:pPr>
        <w:pStyle w:val="TextBody"/>
        <w:bidi w:val="0"/>
        <w:spacing w:before="10" w:after="10"/>
        <w:ind w:left="10" w:right="10" w:hanging="0"/>
        <w:jc w:val="left"/>
        <w:rPr/>
      </w:pPr>
      <w:r>
        <w:rPr/>
        <w:t> </w:t>
      </w:r>
    </w:p>
    <w:p>
      <w:pPr>
        <w:pStyle w:val="TextBody"/>
        <w:bidi w:val="0"/>
        <w:ind w:left="278" w:right="192" w:hanging="0"/>
        <w:jc w:val="both"/>
        <w:rPr>
          <w:sz w:val="20"/>
        </w:rPr>
      </w:pPr>
      <w:r>
        <w:rPr>
          <w:sz w:val="20"/>
        </w:rPr>
        <w:t>(a)             If Section 10(a) is specified in the Schedule as applying, each party that enters into a Transaction through an Office other than its head or home office represents to and agrees with the other party that, notwithstanding the place of booking or its jurisdiction of incorporation or organisation, its obligations are the same in terms of recourse against it as if it had entered into the Transaction through its head or home office, except that a party will not have recourse to the head or home office of the other party in respect of any payment or delivery deferred pursuant to Section 5(d) for so long as the payment or delivery is so deferred. This representation and agreement will be deemed to be repeated by each party on each date on which the parties enter into a Transaction.</w:t>
      </w:r>
    </w:p>
    <w:p>
      <w:pPr>
        <w:pStyle w:val="TextBody"/>
        <w:bidi w:val="0"/>
        <w:spacing w:before="9" w:after="9"/>
        <w:ind w:left="9" w:right="9" w:hanging="0"/>
        <w:jc w:val="left"/>
        <w:rPr/>
      </w:pPr>
      <w:r>
        <w:rPr/>
        <w:t> </w:t>
      </w:r>
    </w:p>
    <w:p>
      <w:pPr>
        <w:pStyle w:val="TextBody"/>
        <w:bidi w:val="0"/>
        <w:ind w:left="278" w:right="193" w:hanging="0"/>
        <w:jc w:val="both"/>
        <w:rPr>
          <w:sz w:val="20"/>
        </w:rPr>
      </w:pPr>
      <w:r>
        <w:rPr>
          <w:sz w:val="20"/>
        </w:rPr>
        <w:t>(b)            If a party is specified as a Multibranch Party in the Schedule, such party may, subject to clause (c) below, enter into a Transaction through, book a Transaction in and make and receive payments and deliveries with respect to a Transaction through any Office listed in respect of that party in the Schedule (but not any other Office unless otherwise agreed by the parties in writing).</w:t>
      </w:r>
    </w:p>
    <w:p>
      <w:pPr>
        <w:pStyle w:val="TextBody"/>
        <w:bidi w:val="0"/>
        <w:spacing w:before="8" w:after="8"/>
        <w:ind w:left="8" w:right="8" w:hanging="0"/>
        <w:jc w:val="left"/>
        <w:rPr/>
      </w:pPr>
      <w:r>
        <w:rPr/>
        <w:t> </w:t>
      </w:r>
    </w:p>
    <w:p>
      <w:pPr>
        <w:pStyle w:val="TextBody"/>
        <w:bidi w:val="0"/>
        <w:ind w:left="278" w:right="192" w:hanging="0"/>
        <w:jc w:val="both"/>
        <w:rPr>
          <w:sz w:val="20"/>
        </w:rPr>
      </w:pPr>
      <w:r>
        <w:rPr>
          <w:sz w:val="20"/>
        </w:rPr>
        <w:t>(c)             The Office through which a party enters into a Transaction will be the Office specified for that party in the relevant Confirmation or as otherwise agreed by the parties in writing, and, if an Office for that party is not specified in the Confirmation or otherwise agreed by the parties in writing, its head or home office. Unless the parties otherwise agree in writing, the Office through which a party enters into a Transaction will also be the Office in which it books the Transaction and the Office through which it makes and receives payments and deliveries with respect to the Transaction. Subject to Section 6(b)(ii), neither party may change the Office in which it books the Transaction or the Office through which it makes and receives payments or deliveries with respect to a Transaction without the prior written consent of the other party.</w:t>
      </w:r>
    </w:p>
    <w:p>
      <w:pPr>
        <w:pStyle w:val="TextBody"/>
        <w:bidi w:val="0"/>
        <w:spacing w:before="1" w:after="1"/>
        <w:ind w:left="1" w:right="1" w:hanging="0"/>
        <w:jc w:val="left"/>
        <w:rPr/>
      </w:pPr>
      <w:r>
        <w:rPr/>
        <w:t> </w:t>
      </w:r>
    </w:p>
    <w:tbl>
      <w:tblPr>
        <w:tblW w:w="5000" w:type="pct"/>
        <w:jc w:val="left"/>
        <w:tblInd w:w="0" w:type="dxa"/>
        <w:tblLayout w:type="fixed"/>
        <w:tblCellMar>
          <w:top w:w="0" w:type="dxa"/>
          <w:left w:w="0" w:type="dxa"/>
          <w:bottom w:w="0" w:type="dxa"/>
          <w:right w:w="0" w:type="dxa"/>
        </w:tblCellMar>
      </w:tblPr>
      <w:tblGrid>
        <w:gridCol w:w="299"/>
        <w:gridCol w:w="2526"/>
        <w:gridCol w:w="7380"/>
      </w:tblGrid>
      <w:tr>
        <w:trPr/>
        <w:tc>
          <w:tcPr>
            <w:tcW w:w="299"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pPr>
            <w:r>
              <w:rPr/>
              <w:t>11.</w:t>
            </w:r>
          </w:p>
        </w:tc>
        <w:tc>
          <w:tcPr>
            <w:tcW w:w="7380" w:type="dxa"/>
            <w:tcBorders/>
            <w:vAlign w:val="center"/>
          </w:tcPr>
          <w:p>
            <w:pPr>
              <w:pStyle w:val="TableContents"/>
              <w:bidi w:val="0"/>
              <w:spacing w:before="0" w:after="283"/>
              <w:jc w:val="both"/>
              <w:rPr/>
            </w:pPr>
            <w:r>
              <w:rPr/>
              <w:t>Expenses</w:t>
            </w:r>
          </w:p>
        </w:tc>
      </w:tr>
    </w:tbl>
    <w:p>
      <w:pPr>
        <w:pStyle w:val="TextBody"/>
        <w:bidi w:val="0"/>
        <w:spacing w:before="10" w:after="10"/>
        <w:ind w:left="10" w:right="10" w:hanging="0"/>
        <w:jc w:val="left"/>
        <w:rPr/>
      </w:pPr>
      <w:r>
        <w:rPr/>
        <w:t> </w:t>
      </w:r>
    </w:p>
    <w:p>
      <w:pPr>
        <w:pStyle w:val="TextBody"/>
        <w:bidi w:val="0"/>
        <w:spacing w:before="1" w:after="1"/>
        <w:ind w:left="278" w:right="191" w:hanging="0"/>
        <w:jc w:val="both"/>
        <w:rPr>
          <w:sz w:val="20"/>
        </w:rPr>
      </w:pPr>
      <w:r>
        <w:rPr>
          <w:sz w:val="20"/>
        </w:rPr>
        <w:t>A Defaulting Party will on demand indemnify and hold harmless the other party for and against all reasonable out-of- pocket expenses, including legal fees, execution fees and Stamp Tax, incurred by such other party by reason of the enforcement and protection of its rights under this Agreement or any Credit Support Document to which the Defaulting Party is a party or by reason of the early termination of any Transaction, including, but not limited to, costs of collection.</w:t>
      </w:r>
    </w:p>
    <w:p>
      <w:pPr>
        <w:pStyle w:val="TextBody"/>
        <w:bidi w:val="0"/>
        <w:spacing w:before="10" w:after="10"/>
        <w:ind w:left="10" w:right="10" w:hanging="0"/>
        <w:jc w:val="left"/>
        <w:rPr/>
      </w:pPr>
      <w:r>
        <w:rPr/>
        <w:t> </w:t>
      </w:r>
    </w:p>
    <w:tbl>
      <w:tblPr>
        <w:tblW w:w="5000" w:type="pct"/>
        <w:jc w:val="left"/>
        <w:tblInd w:w="0" w:type="dxa"/>
        <w:tblLayout w:type="fixed"/>
        <w:tblCellMar>
          <w:top w:w="0" w:type="dxa"/>
          <w:left w:w="0" w:type="dxa"/>
          <w:bottom w:w="0" w:type="dxa"/>
          <w:right w:w="0" w:type="dxa"/>
        </w:tblCellMar>
      </w:tblPr>
      <w:tblGrid>
        <w:gridCol w:w="348"/>
        <w:gridCol w:w="2934"/>
        <w:gridCol w:w="6923"/>
      </w:tblGrid>
      <w:tr>
        <w:trPr/>
        <w:tc>
          <w:tcPr>
            <w:tcW w:w="348"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pPr>
            <w:r>
              <w:rPr/>
              <w:t>12.</w:t>
            </w:r>
          </w:p>
        </w:tc>
        <w:tc>
          <w:tcPr>
            <w:tcW w:w="6923" w:type="dxa"/>
            <w:tcBorders/>
            <w:vAlign w:val="center"/>
          </w:tcPr>
          <w:p>
            <w:pPr>
              <w:pStyle w:val="TableContents"/>
              <w:bidi w:val="0"/>
              <w:spacing w:before="0" w:after="283"/>
              <w:jc w:val="both"/>
              <w:rPr/>
            </w:pPr>
            <w:r>
              <w:rPr/>
              <w:t>Notices</w:t>
            </w:r>
          </w:p>
        </w:tc>
      </w:tr>
    </w:tbl>
    <w:p>
      <w:pPr>
        <w:pStyle w:val="TextBody"/>
        <w:bidi w:val="0"/>
        <w:spacing w:before="1" w:after="1"/>
        <w:ind w:left="1" w:right="1" w:hanging="0"/>
        <w:jc w:val="left"/>
        <w:rPr/>
      </w:pPr>
      <w:r>
        <w:rPr/>
        <w:t> </w:t>
      </w:r>
    </w:p>
    <w:p>
      <w:pPr>
        <w:pStyle w:val="TextBody"/>
        <w:bidi w:val="0"/>
        <w:ind w:left="278" w:right="195" w:hanging="0"/>
        <w:jc w:val="both"/>
        <w:rPr>
          <w:sz w:val="20"/>
        </w:rPr>
      </w:pPr>
      <w:r>
        <w:rPr>
          <w:sz w:val="20"/>
        </w:rPr>
        <w:t xml:space="preserve">(a)             </w:t>
      </w:r>
      <w:r>
        <w:rPr>
          <w:b/>
          <w:i/>
          <w:sz w:val="20"/>
        </w:rPr>
        <w:t xml:space="preserve">Effectiveness. </w:t>
      </w:r>
      <w:r>
        <w:rPr>
          <w:sz w:val="20"/>
        </w:rPr>
        <w:t>Any notice or other communication in respect of this Agreement may be given in any manner described below (except that a notice or other communication under Section 5 or 6 may not be given by electronic messaging system or e-mail) to the address or number or in accordance with the electronic messaging system or e-mail details provided (see the Schedule) and will be deemed effective as indicated:</w:t>
      </w:r>
    </w:p>
    <w:p>
      <w:pPr>
        <w:pStyle w:val="TextBody"/>
        <w:bidi w:val="0"/>
        <w:spacing w:before="6" w:after="6"/>
        <w:ind w:left="6" w:right="6" w:hanging="0"/>
        <w:jc w:val="left"/>
        <w:rPr/>
      </w:pPr>
      <w:r>
        <w:rPr/>
        <w:t> </w:t>
      </w:r>
    </w:p>
    <w:tbl>
      <w:tblPr>
        <w:tblW w:w="5000" w:type="pct"/>
        <w:jc w:val="left"/>
        <w:tblInd w:w="0" w:type="dxa"/>
        <w:tblLayout w:type="fixed"/>
        <w:tblCellMar>
          <w:top w:w="0" w:type="dxa"/>
          <w:left w:w="0" w:type="dxa"/>
          <w:bottom w:w="0" w:type="dxa"/>
          <w:right w:w="0" w:type="dxa"/>
        </w:tblCellMar>
      </w:tblPr>
      <w:tblGrid>
        <w:gridCol w:w="51"/>
        <w:gridCol w:w="314"/>
        <w:gridCol w:w="9840"/>
      </w:tblGrid>
      <w:tr>
        <w:trPr/>
        <w:tc>
          <w:tcPr>
            <w:tcW w:w="5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(i)</w:t>
            </w:r>
          </w:p>
        </w:tc>
        <w:tc>
          <w:tcPr>
            <w:tcW w:w="9840" w:type="dxa"/>
            <w:tcBorders/>
            <w:vAlign w:val="center"/>
          </w:tcPr>
          <w:p>
            <w:pPr>
              <w:pStyle w:val="TableContents"/>
              <w:bidi w:val="0"/>
              <w:spacing w:before="0" w:after="283"/>
              <w:jc w:val="both"/>
              <w:rPr/>
            </w:pPr>
            <w:r>
              <w:rPr/>
              <w:t>if in writing and delivered in person or by courier, on the date it is delivered;</w:t>
            </w:r>
          </w:p>
        </w:tc>
      </w:tr>
    </w:tbl>
    <w:p>
      <w:pPr>
        <w:pStyle w:val="TextBody"/>
        <w:bidi w:val="0"/>
        <w:spacing w:before="10" w:after="10"/>
        <w:ind w:left="10" w:right="10" w:hanging="0"/>
        <w:jc w:val="left"/>
        <w:rPr/>
      </w:pPr>
      <w:r>
        <w:rPr/>
        <w:t> </w:t>
      </w:r>
    </w:p>
    <w:tbl>
      <w:tblPr>
        <w:tblW w:w="5000" w:type="pct"/>
        <w:jc w:val="left"/>
        <w:tblInd w:w="0" w:type="dxa"/>
        <w:tblLayout w:type="fixed"/>
        <w:tblCellMar>
          <w:top w:w="0" w:type="dxa"/>
          <w:left w:w="0" w:type="dxa"/>
          <w:bottom w:w="0" w:type="dxa"/>
          <w:right w:w="0" w:type="dxa"/>
        </w:tblCellMar>
      </w:tblPr>
      <w:tblGrid>
        <w:gridCol w:w="58"/>
        <w:gridCol w:w="449"/>
        <w:gridCol w:w="9698"/>
      </w:tblGrid>
      <w:tr>
        <w:trPr/>
        <w:tc>
          <w:tcPr>
            <w:tcW w:w="5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pPr>
            <w:r>
              <w:rPr/>
              <w:t>(ii)</w:t>
            </w:r>
          </w:p>
        </w:tc>
        <w:tc>
          <w:tcPr>
            <w:tcW w:w="9698" w:type="dxa"/>
            <w:tcBorders/>
            <w:vAlign w:val="center"/>
          </w:tcPr>
          <w:p>
            <w:pPr>
              <w:pStyle w:val="TableContents"/>
              <w:bidi w:val="0"/>
              <w:spacing w:before="0" w:after="283"/>
              <w:jc w:val="both"/>
              <w:rPr/>
            </w:pPr>
            <w:r>
              <w:rPr/>
              <w:t>if sent by telex, on the date the recipient’s answerback is received;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00"/>
        <w:gridCol w:w="9867"/>
      </w:tblGrid>
      <w:tr>
        <w:trPr/>
        <w:tc>
          <w:tcPr>
            <w:tcW w:w="3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(iii)</w:t>
            </w:r>
          </w:p>
        </w:tc>
        <w:tc>
          <w:tcPr>
            <w:tcW w:w="9867" w:type="dxa"/>
            <w:tcBorders/>
            <w:vAlign w:val="center"/>
          </w:tcPr>
          <w:p>
            <w:pPr>
              <w:pStyle w:val="TableContents"/>
              <w:bidi w:val="0"/>
              <w:spacing w:before="0" w:after="283"/>
              <w:jc w:val="both"/>
              <w:rPr/>
            </w:pPr>
            <w:r>
              <w:rPr/>
              <w:t>if sent by facsimile transmission, on the date it is received by a responsible employee of the recipient in legible form (it being agreed that the burden of proving receipt will be on the sender and will not be met by a transmission report generated by the sender’s facsimile machine);</w:t>
            </w:r>
          </w:p>
        </w:tc>
      </w:tr>
    </w:tbl>
    <w:p>
      <w:pPr>
        <w:pStyle w:val="TextBody"/>
        <w:bidi w:val="0"/>
        <w:spacing w:before="11" w:after="11"/>
        <w:ind w:left="11" w:right="11"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324"/>
        <w:gridCol w:w="9843"/>
      </w:tblGrid>
      <w:tr>
        <w:trPr/>
        <w:tc>
          <w:tcPr>
            <w:tcW w:w="3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pPr>
            <w:r>
              <w:rPr/>
              <w:t>(iv)</w:t>
            </w:r>
          </w:p>
        </w:tc>
        <w:tc>
          <w:tcPr>
            <w:tcW w:w="9843" w:type="dxa"/>
            <w:tcBorders/>
            <w:vAlign w:val="center"/>
          </w:tcPr>
          <w:p>
            <w:pPr>
              <w:pStyle w:val="TableContents"/>
              <w:bidi w:val="0"/>
              <w:spacing w:before="0" w:after="283"/>
              <w:jc w:val="both"/>
              <w:rPr/>
            </w:pPr>
            <w:r>
              <w:rPr/>
              <w:t>if sent by certified or registered mail (airmail, if overseas) or the equivalent (return receipt requested), on the date it is delivered or its delivery is attempted;</w:t>
            </w:r>
          </w:p>
        </w:tc>
      </w:tr>
    </w:tbl>
    <w:p>
      <w:pPr>
        <w:pStyle w:val="TextBody"/>
        <w:bidi w:val="0"/>
        <w:spacing w:before="6" w:after="6"/>
        <w:ind w:left="6" w:right="6" w:hanging="0"/>
        <w:jc w:val="left"/>
        <w:rPr/>
      </w:pPr>
      <w:r>
        <w:rPr/>
        <w:t> </w:t>
      </w:r>
    </w:p>
    <w:tbl>
      <w:tblPr>
        <w:tblW w:w="5000" w:type="pct"/>
        <w:jc w:val="left"/>
        <w:tblInd w:w="0" w:type="dxa"/>
        <w:tblLayout w:type="fixed"/>
        <w:tblCellMar>
          <w:top w:w="0" w:type="dxa"/>
          <w:left w:w="0" w:type="dxa"/>
          <w:bottom w:w="0" w:type="dxa"/>
          <w:right w:w="0" w:type="dxa"/>
        </w:tblCellMar>
      </w:tblPr>
      <w:tblGrid>
        <w:gridCol w:w="57"/>
        <w:gridCol w:w="443"/>
        <w:gridCol w:w="9705"/>
      </w:tblGrid>
      <w:tr>
        <w:trPr/>
        <w:tc>
          <w:tcPr>
            <w:tcW w:w="5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pPr>
            <w:r>
              <w:rPr/>
              <w:t>(v)</w:t>
            </w:r>
          </w:p>
        </w:tc>
        <w:tc>
          <w:tcPr>
            <w:tcW w:w="9705" w:type="dxa"/>
            <w:tcBorders/>
            <w:vAlign w:val="center"/>
          </w:tcPr>
          <w:p>
            <w:pPr>
              <w:pStyle w:val="TableContents"/>
              <w:bidi w:val="0"/>
              <w:spacing w:before="0" w:after="283"/>
              <w:jc w:val="both"/>
              <w:rPr/>
            </w:pPr>
            <w:r>
              <w:rPr/>
              <w:t>if sent by electronic messaging system, on the date it is received; or</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86"/>
        <w:gridCol w:w="798"/>
        <w:gridCol w:w="9321"/>
      </w:tblGrid>
      <w:tr>
        <w:trPr/>
        <w:tc>
          <w:tcPr>
            <w:tcW w:w="8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pPr>
            <w:r>
              <w:rPr/>
              <w:t>(vi)</w:t>
            </w:r>
          </w:p>
        </w:tc>
        <w:tc>
          <w:tcPr>
            <w:tcW w:w="9321" w:type="dxa"/>
            <w:tcBorders/>
            <w:vAlign w:val="center"/>
          </w:tcPr>
          <w:p>
            <w:pPr>
              <w:pStyle w:val="TableContents"/>
              <w:bidi w:val="0"/>
              <w:spacing w:before="0" w:after="283"/>
              <w:jc w:val="both"/>
              <w:rPr/>
            </w:pPr>
            <w:r>
              <w:rPr/>
              <w:t>if sent by e-mail, on the date it is delivered,</w:t>
            </w:r>
          </w:p>
        </w:tc>
      </w:tr>
    </w:tbl>
    <w:p>
      <w:pPr>
        <w:pStyle w:val="TextBody"/>
        <w:bidi w:val="0"/>
        <w:spacing w:before="10" w:after="10"/>
        <w:ind w:left="10" w:right="10" w:hanging="0"/>
        <w:jc w:val="left"/>
        <w:rPr/>
      </w:pPr>
      <w:r>
        <w:rPr/>
        <w:t> </w:t>
      </w:r>
    </w:p>
    <w:p>
      <w:pPr>
        <w:pStyle w:val="TextBody"/>
        <w:bidi w:val="0"/>
        <w:spacing w:before="1" w:after="1"/>
        <w:ind w:left="278" w:right="191" w:hanging="0"/>
        <w:jc w:val="both"/>
        <w:rPr>
          <w:sz w:val="20"/>
        </w:rPr>
      </w:pPr>
      <w:r>
        <w:rPr>
          <w:sz w:val="20"/>
        </w:rPr>
        <w:t>unless the date of that delivery (or attempted delivery) or that receipt, as applicable, is not a Local Business Day or that communication is delivered (or attempted) or received, as applicable, after the close of business on a Local Business Day, in which case that communication will be deemed given and effective on the first following day that is a Local Business Day.</w:t>
      </w:r>
    </w:p>
    <w:p>
      <w:pPr>
        <w:pStyle w:val="TextBody"/>
        <w:bidi w:val="0"/>
        <w:spacing w:before="9" w:after="9"/>
        <w:ind w:left="9" w:right="9" w:hanging="0"/>
        <w:jc w:val="left"/>
        <w:rPr/>
      </w:pPr>
      <w:r>
        <w:rPr/>
        <w:t> </w:t>
      </w:r>
    </w:p>
    <w:p>
      <w:pPr>
        <w:pStyle w:val="TextBody"/>
        <w:bidi w:val="0"/>
        <w:ind w:left="278" w:right="192" w:hanging="0"/>
        <w:jc w:val="both"/>
        <w:rPr>
          <w:sz w:val="20"/>
        </w:rPr>
      </w:pPr>
      <w:r>
        <w:rPr>
          <w:sz w:val="20"/>
        </w:rPr>
        <w:t xml:space="preserve">(b)            </w:t>
      </w:r>
      <w:r>
        <w:rPr>
          <w:b/>
          <w:i/>
          <w:sz w:val="20"/>
        </w:rPr>
        <w:t xml:space="preserve">Change of Details. </w:t>
      </w:r>
      <w:r>
        <w:rPr>
          <w:sz w:val="20"/>
        </w:rPr>
        <w:t>Either party may by notice to the other change the address, telex or facsimile number or electronic messaging system or e-mail details at which notices or other communications are to be given to it.</w:t>
      </w:r>
    </w:p>
    <w:p>
      <w:pPr>
        <w:pStyle w:val="TextBody"/>
        <w:bidi w:val="0"/>
        <w:spacing w:before="5" w:after="5"/>
        <w:ind w:left="5" w:right="5" w:hanging="0"/>
        <w:jc w:val="left"/>
        <w:rPr/>
      </w:pPr>
      <w:r>
        <w:rPr/>
        <w:t> </w:t>
      </w:r>
    </w:p>
    <w:tbl>
      <w:tblPr>
        <w:tblW w:w="5000" w:type="pct"/>
        <w:jc w:val="left"/>
        <w:tblInd w:w="0" w:type="dxa"/>
        <w:tblLayout w:type="fixed"/>
        <w:tblCellMar>
          <w:top w:w="0" w:type="dxa"/>
          <w:left w:w="0" w:type="dxa"/>
          <w:bottom w:w="0" w:type="dxa"/>
          <w:right w:w="0" w:type="dxa"/>
        </w:tblCellMar>
      </w:tblPr>
      <w:tblGrid>
        <w:gridCol w:w="112"/>
        <w:gridCol w:w="945"/>
        <w:gridCol w:w="9148"/>
      </w:tblGrid>
      <w:tr>
        <w:trPr/>
        <w:tc>
          <w:tcPr>
            <w:tcW w:w="11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pPr>
            <w:r>
              <w:rPr/>
              <w:t>13.</w:t>
            </w:r>
          </w:p>
        </w:tc>
        <w:tc>
          <w:tcPr>
            <w:tcW w:w="9148" w:type="dxa"/>
            <w:tcBorders/>
            <w:vAlign w:val="center"/>
          </w:tcPr>
          <w:p>
            <w:pPr>
              <w:pStyle w:val="TableContents"/>
              <w:bidi w:val="0"/>
              <w:spacing w:before="0" w:after="283"/>
              <w:jc w:val="both"/>
              <w:rPr/>
            </w:pPr>
            <w:r>
              <w:rPr/>
              <w:t>Governing Law and Jurisdiction</w:t>
            </w:r>
          </w:p>
        </w:tc>
      </w:tr>
    </w:tbl>
    <w:p>
      <w:pPr>
        <w:pStyle w:val="TextBody"/>
        <w:bidi w:val="0"/>
        <w:spacing w:before="0" w:after="283"/>
        <w:jc w:val="left"/>
        <w:rPr/>
      </w:pPr>
      <w:r>
        <w:rPr/>
        <w:t> </w:t>
      </w:r>
    </w:p>
    <w:p>
      <w:pPr>
        <w:pStyle w:val="TextBody"/>
        <w:bidi w:val="0"/>
        <w:ind w:left="278" w:right="190" w:hanging="0"/>
        <w:jc w:val="both"/>
        <w:rPr>
          <w:sz w:val="20"/>
        </w:rPr>
      </w:pPr>
      <w:r>
        <w:rPr>
          <w:sz w:val="20"/>
        </w:rPr>
        <w:t xml:space="preserve">(a)             </w:t>
      </w:r>
      <w:r>
        <w:rPr>
          <w:b/>
          <w:i/>
          <w:sz w:val="20"/>
        </w:rPr>
        <w:t xml:space="preserve">Governing Law. </w:t>
      </w:r>
      <w:r>
        <w:rPr>
          <w:sz w:val="20"/>
        </w:rPr>
        <w:t>This Agreement will be governed by and construed in accordance with the law specified in the Schedule.</w:t>
      </w:r>
    </w:p>
    <w:p>
      <w:pPr>
        <w:pStyle w:val="TextBody"/>
        <w:bidi w:val="0"/>
        <w:spacing w:before="5" w:after="5"/>
        <w:ind w:left="5" w:right="5" w:hanging="0"/>
        <w:jc w:val="left"/>
        <w:rPr/>
      </w:pPr>
      <w:r>
        <w:rPr/>
        <w:t> </w:t>
      </w:r>
    </w:p>
    <w:p>
      <w:pPr>
        <w:pStyle w:val="TextBody"/>
        <w:bidi w:val="0"/>
        <w:ind w:left="278" w:right="192" w:hanging="0"/>
        <w:jc w:val="both"/>
        <w:rPr>
          <w:sz w:val="20"/>
        </w:rPr>
      </w:pPr>
      <w:r>
        <w:rPr>
          <w:sz w:val="20"/>
        </w:rPr>
        <w:t xml:space="preserve">(b)            </w:t>
      </w:r>
      <w:r>
        <w:rPr>
          <w:b/>
          <w:i/>
          <w:sz w:val="20"/>
        </w:rPr>
        <w:t xml:space="preserve">Jurisdiction. </w:t>
      </w:r>
      <w:r>
        <w:rPr>
          <w:sz w:val="20"/>
        </w:rPr>
        <w:t>With respect to any suit, action or proceedings relating to any dispute arising out of or in connection with this Agreement (“Proceedings”), each party irrevocably:</w:t>
      </w:r>
    </w:p>
    <w:p>
      <w:pPr>
        <w:pStyle w:val="TextBody"/>
        <w:bidi w:val="0"/>
        <w:spacing w:before="3" w:after="3"/>
        <w:ind w:left="3" w:right="3" w:hanging="0"/>
        <w:jc w:val="left"/>
        <w:rPr/>
      </w:pPr>
      <w:r>
        <w:rPr/>
        <w:t> </w:t>
      </w:r>
    </w:p>
    <w:tbl>
      <w:tblPr>
        <w:tblW w:w="5000" w:type="pct"/>
        <w:jc w:val="left"/>
        <w:tblInd w:w="0" w:type="dxa"/>
        <w:tblLayout w:type="fixed"/>
        <w:tblCellMar>
          <w:top w:w="0" w:type="dxa"/>
          <w:left w:w="0" w:type="dxa"/>
          <w:bottom w:w="0" w:type="dxa"/>
          <w:right w:w="0" w:type="dxa"/>
        </w:tblCellMar>
      </w:tblPr>
      <w:tblGrid>
        <w:gridCol w:w="358"/>
        <w:gridCol w:w="2167"/>
        <w:gridCol w:w="7680"/>
      </w:tblGrid>
      <w:tr>
        <w:trPr/>
        <w:tc>
          <w:tcPr>
            <w:tcW w:w="358"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pPr>
            <w:r>
              <w:rPr/>
              <w:t>(i)</w:t>
            </w:r>
          </w:p>
        </w:tc>
        <w:tc>
          <w:tcPr>
            <w:tcW w:w="7680" w:type="dxa"/>
            <w:tcBorders/>
            <w:vAlign w:val="center"/>
          </w:tcPr>
          <w:p>
            <w:pPr>
              <w:pStyle w:val="TableContents"/>
              <w:bidi w:val="0"/>
              <w:spacing w:before="0" w:after="283"/>
              <w:jc w:val="both"/>
              <w:rPr/>
            </w:pPr>
            <w:r>
              <w:rPr/>
              <w:t>submits:</w:t>
            </w:r>
          </w:p>
        </w:tc>
      </w:tr>
    </w:tbl>
    <w:p>
      <w:pPr>
        <w:pStyle w:val="TextBody"/>
        <w:bidi w:val="0"/>
        <w:spacing w:before="10" w:after="10"/>
        <w:ind w:left="10" w:right="10" w:hanging="0"/>
        <w:jc w:val="left"/>
        <w:rPr/>
      </w:pPr>
      <w:r>
        <w:rPr/>
        <w:t> </w:t>
      </w:r>
    </w:p>
    <w:p>
      <w:pPr>
        <w:pStyle w:val="TextBody"/>
        <w:bidi w:val="0"/>
        <w:ind w:left="1696" w:right="192" w:hanging="0"/>
        <w:jc w:val="both"/>
        <w:rPr>
          <w:sz w:val="20"/>
        </w:rPr>
      </w:pPr>
      <w:r>
        <w:rPr>
          <w:sz w:val="20"/>
        </w:rPr>
        <w:t>(1)            if this Agreement is expressed to be governed by English law, to (A) the non-exclusive jurisdiction of the English courts if the Proceedings do not involve a Convention Court and (B) the exclusive jurisdiction of the English courts if the Proceedings do involve a Convention Court; or</w:t>
      </w:r>
    </w:p>
    <w:p>
      <w:pPr>
        <w:pStyle w:val="TextBody"/>
        <w:bidi w:val="0"/>
        <w:spacing w:before="7" w:after="7"/>
        <w:ind w:left="7" w:right="7" w:hanging="0"/>
        <w:jc w:val="left"/>
        <w:rPr/>
      </w:pPr>
      <w:r>
        <w:rPr/>
        <w:t> </w:t>
      </w:r>
    </w:p>
    <w:p>
      <w:pPr>
        <w:pStyle w:val="TextBody"/>
        <w:bidi w:val="0"/>
        <w:ind w:left="1696" w:right="192" w:hanging="0"/>
        <w:jc w:val="both"/>
        <w:rPr>
          <w:sz w:val="20"/>
        </w:rPr>
      </w:pPr>
      <w:r>
        <w:rPr>
          <w:sz w:val="20"/>
        </w:rPr>
        <w:t>(2)            if this Agreement is expressed to be governed by the laws of the State of New York, to the non-exclusive jurisdiction of the courts of the State of New York and the United States District Court located in the Borough of Manhattan in New York City;</w:t>
      </w:r>
    </w:p>
    <w:p>
      <w:pPr>
        <w:pStyle w:val="TextBody"/>
        <w:bidi w:val="0"/>
        <w:spacing w:before="7" w:after="7"/>
        <w:ind w:left="7" w:right="7" w:hanging="0"/>
        <w:jc w:val="left"/>
        <w:rPr/>
      </w:pPr>
      <w:r>
        <w:rPr/>
        <w:t> </w:t>
      </w:r>
    </w:p>
    <w:p>
      <w:pPr>
        <w:pStyle w:val="TextBody"/>
        <w:bidi w:val="0"/>
        <w:ind w:left="986" w:right="192" w:hanging="0"/>
        <w:jc w:val="both"/>
        <w:rPr>
          <w:sz w:val="20"/>
        </w:rPr>
      </w:pPr>
      <w:r>
        <w:rPr>
          <w:sz w:val="20"/>
        </w:rPr>
        <w:t>(ii)            waives any objection which it may have at any time to the laying of venue of any Proceedings brought in any such court, waives any claim that such Proceedings have been brought in an inconvenient forum and further waives the right to object, with respect to such Proceedings, that such court does not have any jurisdiction over such party; and</w:t>
      </w:r>
    </w:p>
    <w:p>
      <w:pPr>
        <w:pStyle w:val="TextBody"/>
        <w:bidi w:val="0"/>
        <w:spacing w:before="8" w:after="8"/>
        <w:ind w:left="8" w:right="8" w:hanging="0"/>
        <w:jc w:val="left"/>
        <w:rPr/>
      </w:pPr>
      <w:r>
        <w:rPr/>
        <w:t> </w:t>
      </w:r>
    </w:p>
    <w:p>
      <w:pPr>
        <w:pStyle w:val="TextBody"/>
        <w:bidi w:val="0"/>
        <w:ind w:left="986" w:right="193" w:hanging="0"/>
        <w:jc w:val="both"/>
        <w:rPr>
          <w:sz w:val="20"/>
        </w:rPr>
      </w:pPr>
      <w:r>
        <w:rPr>
          <w:sz w:val="20"/>
        </w:rPr>
        <w:t>(iii)           agrees, to the extent permitted by applicable law, that the bringing of Proceedings in any one or more jurisdictions will not preclude the bringing of Proceedings in any other jurisdiction.</w:t>
      </w:r>
    </w:p>
    <w:p>
      <w:pPr>
        <w:pStyle w:val="TextBody"/>
        <w:bidi w:val="0"/>
        <w:spacing w:before="186" w:after="186"/>
        <w:ind w:left="278" w:right="190" w:hanging="0"/>
        <w:jc w:val="both"/>
        <w:rPr>
          <w:sz w:val="20"/>
        </w:rPr>
      </w:pPr>
      <w:r>
        <w:rPr>
          <w:sz w:val="20"/>
        </w:rPr>
        <w:t xml:space="preserve">(c)             </w:t>
      </w:r>
      <w:r>
        <w:rPr>
          <w:b/>
          <w:i/>
          <w:sz w:val="20"/>
        </w:rPr>
        <w:t xml:space="preserve">Service of Process. </w:t>
      </w:r>
      <w:r>
        <w:rPr>
          <w:sz w:val="20"/>
        </w:rPr>
        <w:t>Each party irrevocably appoints the Process Agent, if any, specified opposite its name in the Schedule to receive, for it and on its behalf, service of process in any Proceedings. If for any reason any party’s Process Agent is unable to act as such, such party will promptly notify the other party and within 30 days appoint a substitute process agent acceptable to the other party. The parties irrevocably consent to service of process given in the manner provided for notices in Section 12(a)(i), 12(a)(iii) or 12(a)(iv). Nothing in this Agreement will affect the right of either party to serve process in any other manner permitted by applicable law.</w:t>
      </w:r>
    </w:p>
    <w:p>
      <w:pPr>
        <w:pStyle w:val="TextBody"/>
        <w:bidi w:val="0"/>
        <w:spacing w:before="9" w:after="9"/>
        <w:ind w:left="9" w:right="9" w:hanging="0"/>
        <w:jc w:val="left"/>
        <w:rPr/>
      </w:pPr>
      <w:r>
        <w:rPr/>
        <w:t> </w:t>
      </w:r>
    </w:p>
    <w:p>
      <w:pPr>
        <w:pStyle w:val="TextBody"/>
        <w:bidi w:val="0"/>
        <w:ind w:left="278" w:right="190" w:hanging="0"/>
        <w:jc w:val="both"/>
        <w:rPr>
          <w:sz w:val="20"/>
        </w:rPr>
      </w:pPr>
      <w:r>
        <w:rPr>
          <w:sz w:val="20"/>
        </w:rPr>
        <w:t xml:space="preserve">(d)            </w:t>
      </w:r>
      <w:r>
        <w:rPr>
          <w:b/>
          <w:i/>
          <w:sz w:val="20"/>
        </w:rPr>
        <w:t xml:space="preserve">Waiver of Immunities. </w:t>
      </w:r>
      <w:r>
        <w:rPr>
          <w:sz w:val="20"/>
        </w:rPr>
        <w:t>Each party irrevocably waives, to the extent permitted by applicable law, with respect to itself and its revenues and assets (irrespective of their use or intended use), all immunity on the grounds of sovereignty or other similar grounds from (i) suit, (ii) jurisdiction of any court, (iii) relief by way of injunction or order for specific performance or recovery of property, (iv) attachment of its assets (whether before or after judgment) and (v) execution or enforcement of any judgment to which it or its revenues or assets might otherwise be entitled in any Proceedings in the courts of any jurisdiction and irrevocably agrees, to the extent permitted by applicable law, that it will not claim any such immunity in any Proceedings.</w:t>
      </w:r>
    </w:p>
    <w:p>
      <w:pPr>
        <w:pStyle w:val="TextBody"/>
        <w:bidi w:val="0"/>
        <w:spacing w:before="10" w:after="10"/>
        <w:ind w:left="278" w:right="189"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268"/>
        <w:gridCol w:w="2263"/>
        <w:gridCol w:w="7674"/>
      </w:tblGrid>
      <w:tr>
        <w:trPr/>
        <w:tc>
          <w:tcPr>
            <w:tcW w:w="268"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pPr>
            <w:r>
              <w:rPr/>
              <w:t>14.</w:t>
            </w:r>
          </w:p>
        </w:tc>
        <w:tc>
          <w:tcPr>
            <w:tcW w:w="7674" w:type="dxa"/>
            <w:tcBorders/>
            <w:vAlign w:val="center"/>
          </w:tcPr>
          <w:p>
            <w:pPr>
              <w:pStyle w:val="TableContents"/>
              <w:bidi w:val="0"/>
              <w:spacing w:before="0" w:after="283"/>
              <w:jc w:val="both"/>
              <w:rPr/>
            </w:pPr>
            <w:r>
              <w:rPr/>
              <w:t>Definitions</w:t>
            </w:r>
          </w:p>
        </w:tc>
      </w:tr>
    </w:tbl>
    <w:p>
      <w:pPr>
        <w:pStyle w:val="TextBody"/>
        <w:bidi w:val="0"/>
        <w:spacing w:before="10" w:after="10"/>
        <w:ind w:left="10" w:right="10" w:hanging="0"/>
        <w:jc w:val="left"/>
        <w:rPr/>
      </w:pPr>
      <w:r>
        <w:rPr/>
        <w:t> </w:t>
      </w:r>
    </w:p>
    <w:p>
      <w:pPr>
        <w:pStyle w:val="TextBody"/>
        <w:bidi w:val="0"/>
        <w:ind w:left="278" w:right="0" w:hanging="0"/>
        <w:jc w:val="both"/>
        <w:rPr>
          <w:sz w:val="20"/>
        </w:rPr>
      </w:pPr>
      <w:r>
        <w:rPr>
          <w:sz w:val="20"/>
        </w:rPr>
        <w:t>As used in this Agreement:</w:t>
      </w:r>
    </w:p>
    <w:p>
      <w:pPr>
        <w:pStyle w:val="TextBody"/>
        <w:bidi w:val="0"/>
        <w:spacing w:before="175" w:after="175"/>
        <w:ind w:left="278" w:right="3116" w:hanging="0"/>
        <w:jc w:val="left"/>
        <w:rPr/>
      </w:pPr>
      <w:r>
        <w:rPr/>
        <w:t>“</w:t>
      </w:r>
      <w:r>
        <w:rPr>
          <w:b/>
          <w:i/>
          <w:sz w:val="20"/>
        </w:rPr>
        <w:t xml:space="preserve">Additional Representation” </w:t>
      </w:r>
      <w:r>
        <w:rPr>
          <w:sz w:val="20"/>
        </w:rPr>
        <w:t xml:space="preserve">has the meaning specified in Section 3. </w:t>
      </w:r>
    </w:p>
    <w:p>
      <w:pPr>
        <w:pStyle w:val="TextBody"/>
        <w:bidi w:val="0"/>
        <w:spacing w:before="175" w:after="175"/>
        <w:ind w:left="278" w:right="3116" w:hanging="0"/>
        <w:jc w:val="left"/>
        <w:rPr/>
      </w:pPr>
      <w:r>
        <w:rPr/>
        <w:t>“</w:t>
      </w:r>
      <w:r>
        <w:rPr>
          <w:b/>
          <w:i/>
          <w:sz w:val="20"/>
        </w:rPr>
        <w:t xml:space="preserve">Additional Termination Event” </w:t>
      </w:r>
      <w:r>
        <w:rPr>
          <w:sz w:val="20"/>
        </w:rPr>
        <w:t xml:space="preserve">has the meaning specified in Section 5(b). </w:t>
      </w:r>
    </w:p>
    <w:p>
      <w:pPr>
        <w:pStyle w:val="TextBody"/>
        <w:bidi w:val="0"/>
        <w:spacing w:before="175" w:after="175"/>
        <w:ind w:left="278" w:right="3116" w:hanging="0"/>
        <w:jc w:val="left"/>
        <w:rPr/>
      </w:pPr>
      <w:r>
        <w:rPr/>
        <w:t>“</w:t>
      </w:r>
      <w:r>
        <w:rPr>
          <w:b/>
          <w:i/>
          <w:sz w:val="20"/>
        </w:rPr>
        <w:t xml:space="preserve">Affected Party” </w:t>
      </w:r>
      <w:r>
        <w:rPr>
          <w:sz w:val="20"/>
        </w:rPr>
        <w:t>has the meaning specified in Section 5(b).</w:t>
      </w:r>
    </w:p>
    <w:p>
      <w:pPr>
        <w:pStyle w:val="TextBody"/>
        <w:bidi w:val="0"/>
        <w:spacing w:before="171" w:after="0"/>
        <w:ind w:left="278" w:right="191" w:hanging="0"/>
        <w:jc w:val="both"/>
        <w:rPr/>
      </w:pPr>
      <w:r>
        <w:rPr/>
        <w:t>“</w:t>
      </w:r>
      <w:r>
        <w:rPr>
          <w:b/>
          <w:i/>
          <w:sz w:val="20"/>
        </w:rPr>
        <w:t xml:space="preserve">Affected Transactions” </w:t>
      </w:r>
      <w:r>
        <w:rPr>
          <w:sz w:val="20"/>
        </w:rPr>
        <w:t>means (a) with respect to any Termination Event consisting of an Illegality, Force Majeure Event, Tax Event or Tax Event Upon Merger, all Transactions affected by the occurrence of such Termination Event (which, in the case of an Illegality under Section 5(b)(i)(2) or a Force Majeure Event under Section 5(b)(ii)(2), means all Transactions unless the relevant Credit Support Document references only certain Transactions, in which case those Transactions and, if the relevant Credit Support Document constitutes a Confirmation for a Transaction, that Transaction) and (b) with respect to any other Termination Event, all Transactions.</w:t>
      </w:r>
    </w:p>
    <w:p>
      <w:pPr>
        <w:pStyle w:val="TextBody"/>
        <w:bidi w:val="0"/>
        <w:spacing w:before="187" w:after="187"/>
        <w:ind w:left="278" w:right="188" w:hanging="0"/>
        <w:jc w:val="both"/>
        <w:rPr/>
      </w:pPr>
      <w:r>
        <w:rPr/>
        <w:t>“</w:t>
      </w:r>
      <w:r>
        <w:rPr>
          <w:b/>
          <w:i/>
          <w:sz w:val="20"/>
        </w:rPr>
        <w:t xml:space="preserve">Affiliate” </w:t>
      </w:r>
      <w:r>
        <w:rPr>
          <w:sz w:val="20"/>
        </w:rPr>
        <w:t>means, subject to the Schedule, in relation to any person, any entity controlled, directly or indirectly, by the person, any entity that controls, directly or indirectly, the person or any entity directly or indirectly under common control with the person. For this purpose, “control” of any entity or person means ownership of a majority of the voting power of the entity or person.</w:t>
      </w:r>
    </w:p>
    <w:p>
      <w:pPr>
        <w:pStyle w:val="TextBody"/>
        <w:bidi w:val="0"/>
        <w:spacing w:before="175" w:after="175"/>
        <w:ind w:left="278" w:right="175" w:hanging="0"/>
        <w:jc w:val="left"/>
        <w:rPr/>
      </w:pPr>
      <w:r>
        <w:rPr/>
        <w:t>“</w:t>
      </w:r>
      <w:r>
        <w:rPr>
          <w:b/>
          <w:i/>
          <w:sz w:val="20"/>
        </w:rPr>
        <w:t xml:space="preserve">Agreement” </w:t>
      </w:r>
      <w:r>
        <w:rPr>
          <w:sz w:val="20"/>
        </w:rPr>
        <w:t>has the meaning specified in Section 1(c).</w:t>
      </w:r>
    </w:p>
    <w:p>
      <w:pPr>
        <w:pStyle w:val="TextBody"/>
        <w:bidi w:val="0"/>
        <w:spacing w:before="132" w:after="132"/>
        <w:ind w:left="278" w:right="132" w:hanging="0"/>
        <w:jc w:val="left"/>
        <w:rPr/>
      </w:pPr>
      <w:r>
        <w:rPr/>
        <w:t>“</w:t>
      </w:r>
      <w:r>
        <w:rPr>
          <w:b/>
          <w:i/>
          <w:sz w:val="20"/>
        </w:rPr>
        <w:t xml:space="preserve">Applicable Close-out Rate” </w:t>
      </w:r>
      <w:r>
        <w:rPr>
          <w:b w:val="false"/>
          <w:i w:val="false"/>
          <w:caps w:val="false"/>
          <w:smallCaps w:val="false"/>
          <w:sz w:val="20"/>
        </w:rPr>
        <w:t>means:</w:t>
      </w:r>
    </w:p>
    <w:p>
      <w:pPr>
        <w:pStyle w:val="TextBody"/>
        <w:bidi w:val="0"/>
        <w:spacing w:before="3" w:after="3"/>
        <w:ind w:left="3" w:right="3" w:hanging="0"/>
        <w:jc w:val="left"/>
        <w:rPr/>
      </w:pPr>
      <w:r>
        <w:rPr/>
        <w:t> </w:t>
      </w:r>
    </w:p>
    <w:tbl>
      <w:tblPr>
        <w:tblW w:w="5000" w:type="pct"/>
        <w:jc w:val="left"/>
        <w:tblInd w:w="0" w:type="dxa"/>
        <w:tblLayout w:type="fixed"/>
        <w:tblCellMar>
          <w:top w:w="0" w:type="dxa"/>
          <w:left w:w="0" w:type="dxa"/>
          <w:bottom w:w="0" w:type="dxa"/>
          <w:right w:w="0" w:type="dxa"/>
        </w:tblCellMar>
      </w:tblPr>
      <w:tblGrid>
        <w:gridCol w:w="71"/>
        <w:gridCol w:w="519"/>
        <w:gridCol w:w="9615"/>
      </w:tblGrid>
      <w:tr>
        <w:trPr/>
        <w:tc>
          <w:tcPr>
            <w:tcW w:w="7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pPr>
            <w:r>
              <w:rPr/>
              <w:t>(a)</w:t>
            </w:r>
          </w:p>
        </w:tc>
        <w:tc>
          <w:tcPr>
            <w:tcW w:w="9615" w:type="dxa"/>
            <w:tcBorders/>
            <w:vAlign w:val="center"/>
          </w:tcPr>
          <w:p>
            <w:pPr>
              <w:pStyle w:val="TableContents"/>
              <w:bidi w:val="0"/>
              <w:spacing w:before="0" w:after="283"/>
              <w:jc w:val="both"/>
              <w:rPr/>
            </w:pPr>
            <w:r>
              <w:rPr/>
              <w:t>in respect of the determination of an Unpaid Amount:</w:t>
            </w:r>
          </w:p>
        </w:tc>
      </w:tr>
    </w:tbl>
    <w:p>
      <w:pPr>
        <w:pStyle w:val="TextBody"/>
        <w:bidi w:val="0"/>
        <w:spacing w:before="10" w:after="10"/>
        <w:ind w:left="10" w:right="10" w:hanging="0"/>
        <w:jc w:val="left"/>
        <w:rPr/>
      </w:pPr>
      <w:r>
        <w:rPr/>
        <w:t> </w:t>
      </w:r>
    </w:p>
    <w:p>
      <w:pPr>
        <w:pStyle w:val="TextBody"/>
        <w:bidi w:val="0"/>
        <w:ind w:left="986" w:right="195" w:hanging="0"/>
        <w:jc w:val="both"/>
        <w:rPr>
          <w:sz w:val="20"/>
        </w:rPr>
      </w:pPr>
      <w:r>
        <w:rPr>
          <w:sz w:val="20"/>
        </w:rPr>
        <w:t>(i)             in respect of obligations payable or deliverable (or which would have been but for Section 2(a)(iii)) by a Defaulting Party, the Default Rate;</w:t>
      </w:r>
    </w:p>
    <w:p>
      <w:pPr>
        <w:pStyle w:val="TextBody"/>
        <w:bidi w:val="0"/>
        <w:spacing w:before="6" w:after="6"/>
        <w:ind w:left="6" w:right="6" w:hanging="0"/>
        <w:jc w:val="left"/>
        <w:rPr/>
      </w:pPr>
      <w:r>
        <w:rPr/>
        <w:t> </w:t>
      </w:r>
    </w:p>
    <w:p>
      <w:pPr>
        <w:pStyle w:val="TextBody"/>
        <w:bidi w:val="0"/>
        <w:ind w:left="986" w:right="195" w:hanging="0"/>
        <w:jc w:val="both"/>
        <w:rPr>
          <w:sz w:val="20"/>
        </w:rPr>
      </w:pPr>
      <w:r>
        <w:rPr>
          <w:sz w:val="20"/>
        </w:rPr>
        <w:t>(ii)            in respect of obligations payable or deliverable (or which would have been but for Section 2(a)(iii)) by a Non-defaulting Party, the Non-default Rate;</w:t>
      </w:r>
    </w:p>
    <w:p>
      <w:pPr>
        <w:pStyle w:val="TextBody"/>
        <w:bidi w:val="0"/>
        <w:spacing w:before="7" w:after="7"/>
        <w:ind w:left="7" w:right="7" w:hanging="0"/>
        <w:jc w:val="left"/>
        <w:rPr/>
      </w:pPr>
      <w:r>
        <w:rPr/>
        <w:t> </w:t>
      </w:r>
    </w:p>
    <w:p>
      <w:pPr>
        <w:pStyle w:val="TextBody"/>
        <w:bidi w:val="0"/>
        <w:ind w:left="986" w:right="195" w:hanging="0"/>
        <w:jc w:val="both"/>
        <w:rPr>
          <w:sz w:val="20"/>
        </w:rPr>
      </w:pPr>
      <w:r>
        <w:rPr>
          <w:sz w:val="20"/>
        </w:rPr>
        <w:t>(iii)           in respect of obligations deferred pursuant to Section 5(d), if there is no Defaulting Party and for so long as the deferral period continues, the Applicable Deferral Rate; and</w:t>
      </w:r>
    </w:p>
    <w:p>
      <w:pPr>
        <w:pStyle w:val="TextBody"/>
        <w:bidi w:val="0"/>
        <w:spacing w:before="6" w:after="6"/>
        <w:ind w:left="6" w:right="6" w:hanging="0"/>
        <w:jc w:val="left"/>
        <w:rPr/>
      </w:pPr>
      <w:r>
        <w:rPr/>
        <w:t> </w:t>
      </w:r>
    </w:p>
    <w:p>
      <w:pPr>
        <w:pStyle w:val="TextBody"/>
        <w:bidi w:val="0"/>
        <w:ind w:left="986" w:right="194" w:hanging="0"/>
        <w:jc w:val="both"/>
        <w:rPr>
          <w:sz w:val="20"/>
        </w:rPr>
      </w:pPr>
      <w:r>
        <w:rPr>
          <w:sz w:val="20"/>
        </w:rPr>
        <w:t>(iv)           in all other cases following the occurrence of a Termination Event (except where interest accrues pursuant to clause (iii) above), the Applicable Deferral Rate; and</w:t>
      </w:r>
    </w:p>
    <w:p>
      <w:pPr>
        <w:pStyle w:val="TextBody"/>
        <w:bidi w:val="0"/>
        <w:spacing w:before="7" w:after="7"/>
        <w:ind w:left="7" w:right="7" w:hanging="0"/>
        <w:jc w:val="left"/>
        <w:rPr/>
      </w:pPr>
      <w:r>
        <w:rPr/>
        <w:t> </w:t>
      </w:r>
    </w:p>
    <w:tbl>
      <w:tblPr>
        <w:tblW w:w="5000" w:type="pct"/>
        <w:jc w:val="left"/>
        <w:tblInd w:w="0" w:type="dxa"/>
        <w:tblLayout w:type="fixed"/>
        <w:tblCellMar>
          <w:top w:w="0" w:type="dxa"/>
          <w:left w:w="0" w:type="dxa"/>
          <w:bottom w:w="0" w:type="dxa"/>
          <w:right w:w="0" w:type="dxa"/>
        </w:tblCellMar>
      </w:tblPr>
      <w:tblGrid>
        <w:gridCol w:w="86"/>
        <w:gridCol w:w="659"/>
        <w:gridCol w:w="9460"/>
      </w:tblGrid>
      <w:tr>
        <w:trPr/>
        <w:tc>
          <w:tcPr>
            <w:tcW w:w="8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pPr>
            <w:r>
              <w:rPr/>
              <w:t>(b)</w:t>
            </w:r>
          </w:p>
        </w:tc>
        <w:tc>
          <w:tcPr>
            <w:tcW w:w="9460" w:type="dxa"/>
            <w:tcBorders/>
            <w:vAlign w:val="center"/>
          </w:tcPr>
          <w:p>
            <w:pPr>
              <w:pStyle w:val="TableContents"/>
              <w:bidi w:val="0"/>
              <w:spacing w:before="0" w:after="283"/>
              <w:jc w:val="both"/>
              <w:rPr/>
            </w:pPr>
            <w:r>
              <w:rPr/>
              <w:t>in respect of an Early Termination Amount:</w:t>
            </w:r>
          </w:p>
        </w:tc>
      </w:tr>
    </w:tbl>
    <w:p>
      <w:pPr>
        <w:pStyle w:val="TextBody"/>
        <w:bidi w:val="0"/>
        <w:spacing w:before="10" w:after="10"/>
        <w:ind w:left="10" w:right="10" w:hanging="0"/>
        <w:jc w:val="left"/>
        <w:rPr/>
      </w:pPr>
      <w:r>
        <w:rPr/>
        <w:t> </w:t>
      </w:r>
    </w:p>
    <w:p>
      <w:pPr>
        <w:pStyle w:val="TextBody"/>
        <w:bidi w:val="0"/>
        <w:ind w:left="986" w:right="194" w:hanging="0"/>
        <w:jc w:val="both"/>
        <w:rPr>
          <w:sz w:val="20"/>
        </w:rPr>
      </w:pPr>
      <w:r>
        <w:rPr>
          <w:sz w:val="20"/>
        </w:rPr>
        <w:t>(i)             for the period from (and including) the relevant Early Termination Date to (but excluding) the date (determined in accordance with Section 6(d)(ii)) on which that amount is payable:</w:t>
      </w:r>
    </w:p>
    <w:p>
      <w:pPr>
        <w:pStyle w:val="TextBody"/>
        <w:bidi w:val="0"/>
        <w:spacing w:before="6" w:after="6"/>
        <w:ind w:left="6" w:right="6" w:hanging="0"/>
        <w:jc w:val="left"/>
        <w:rPr/>
      </w:pPr>
      <w:r>
        <w:rPr/>
        <w:t> </w:t>
      </w:r>
    </w:p>
    <w:tbl>
      <w:tblPr>
        <w:tblW w:w="5000" w:type="pct"/>
        <w:jc w:val="left"/>
        <w:tblInd w:w="0" w:type="dxa"/>
        <w:tblLayout w:type="fixed"/>
        <w:tblCellMar>
          <w:top w:w="0" w:type="dxa"/>
          <w:left w:w="0" w:type="dxa"/>
          <w:bottom w:w="0" w:type="dxa"/>
          <w:right w:w="0" w:type="dxa"/>
        </w:tblCellMar>
      </w:tblPr>
      <w:tblGrid>
        <w:gridCol w:w="46"/>
        <w:gridCol w:w="357"/>
        <w:gridCol w:w="9802"/>
      </w:tblGrid>
      <w:tr>
        <w:trPr/>
        <w:tc>
          <w:tcPr>
            <w:tcW w:w="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pPr>
            <w:r>
              <w:rPr/>
              <w:t>(1)</w:t>
            </w:r>
          </w:p>
        </w:tc>
        <w:tc>
          <w:tcPr>
            <w:tcW w:w="9802" w:type="dxa"/>
            <w:tcBorders/>
            <w:vAlign w:val="center"/>
          </w:tcPr>
          <w:p>
            <w:pPr>
              <w:pStyle w:val="TableContents"/>
              <w:bidi w:val="0"/>
              <w:spacing w:before="0" w:after="283"/>
              <w:jc w:val="both"/>
              <w:rPr/>
            </w:pPr>
            <w:r>
              <w:rPr/>
              <w:t>if the Early Termination Amount is payable by a Defaulting Party, the Default Rate;</w:t>
            </w:r>
          </w:p>
        </w:tc>
      </w:tr>
    </w:tbl>
    <w:p>
      <w:pPr>
        <w:pStyle w:val="TextBody"/>
        <w:bidi w:val="0"/>
        <w:spacing w:before="0" w:after="283"/>
        <w:jc w:val="left"/>
        <w:rPr/>
      </w:pPr>
      <w:r>
        <w:rPr/>
        <w:t> </w:t>
      </w:r>
    </w:p>
    <w:tbl>
      <w:tblPr>
        <w:tblW w:w="9558" w:type="dxa"/>
        <w:jc w:val="left"/>
        <w:tblInd w:w="0" w:type="dxa"/>
        <w:tblLayout w:type="fixed"/>
        <w:tblCellMar>
          <w:top w:w="0" w:type="dxa"/>
          <w:left w:w="0" w:type="dxa"/>
          <w:bottom w:w="0" w:type="dxa"/>
          <w:right w:w="0" w:type="dxa"/>
        </w:tblCellMar>
      </w:tblPr>
      <w:tblGrid>
        <w:gridCol w:w="38"/>
        <w:gridCol w:w="290"/>
        <w:gridCol w:w="92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9230" w:type="dxa"/>
            <w:tcBorders/>
            <w:vAlign w:val="center"/>
          </w:tcPr>
          <w:p>
            <w:pPr>
              <w:pStyle w:val="TableContents"/>
              <w:bidi w:val="0"/>
              <w:spacing w:before="0" w:after="283"/>
              <w:jc w:val="both"/>
              <w:rPr/>
            </w:pPr>
            <w:r>
              <w:rPr/>
              <w:t>if the Early Termination Amount is payable by a Non-defaulting Party, the Non-default Rate; and</w:t>
            </w:r>
          </w:p>
        </w:tc>
      </w:tr>
    </w:tbl>
    <w:p>
      <w:pPr>
        <w:pStyle w:val="TextBody"/>
        <w:bidi w:val="0"/>
        <w:spacing w:before="6" w:after="6"/>
        <w:ind w:left="6" w:right="6" w:hanging="0"/>
        <w:jc w:val="left"/>
        <w:rPr/>
      </w:pPr>
      <w:r>
        <w:rPr/>
        <w:t> </w:t>
      </w:r>
    </w:p>
    <w:tbl>
      <w:tblPr>
        <w:tblW w:w="5000" w:type="pct"/>
        <w:jc w:val="left"/>
        <w:tblInd w:w="0" w:type="dxa"/>
        <w:tblLayout w:type="fixed"/>
        <w:tblCellMar>
          <w:top w:w="0" w:type="dxa"/>
          <w:left w:w="0" w:type="dxa"/>
          <w:bottom w:w="0" w:type="dxa"/>
          <w:right w:w="0" w:type="dxa"/>
        </w:tblCellMar>
      </w:tblPr>
      <w:tblGrid>
        <w:gridCol w:w="74"/>
        <w:gridCol w:w="566"/>
        <w:gridCol w:w="9565"/>
      </w:tblGrid>
      <w:tr>
        <w:trPr/>
        <w:tc>
          <w:tcPr>
            <w:tcW w:w="7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pPr>
            <w:r>
              <w:rPr/>
              <w:t>(3)</w:t>
            </w:r>
          </w:p>
        </w:tc>
        <w:tc>
          <w:tcPr>
            <w:tcW w:w="9565" w:type="dxa"/>
            <w:tcBorders/>
            <w:vAlign w:val="center"/>
          </w:tcPr>
          <w:p>
            <w:pPr>
              <w:pStyle w:val="TableContents"/>
              <w:bidi w:val="0"/>
              <w:spacing w:before="0" w:after="283"/>
              <w:jc w:val="both"/>
              <w:rPr/>
            </w:pPr>
            <w:r>
              <w:rPr/>
              <w:t>in all other cases, the Applicable Deferral Rate; and</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ind w:left="986" w:right="192" w:hanging="0"/>
        <w:jc w:val="both"/>
        <w:rPr>
          <w:sz w:val="20"/>
        </w:rPr>
      </w:pPr>
      <w:r>
        <w:rPr>
          <w:sz w:val="20"/>
        </w:rPr>
        <w:t>(ii)            for the period from (and including) the date (determined in accordance with Section 6(d)(ii)) on which that amount is payable to (but excluding) the date of actual payment:</w:t>
      </w:r>
    </w:p>
    <w:p>
      <w:pPr>
        <w:pStyle w:val="TextBody"/>
        <w:bidi w:val="0"/>
        <w:spacing w:before="6" w:after="6"/>
        <w:ind w:left="6" w:right="6" w:hanging="0"/>
        <w:jc w:val="left"/>
        <w:rPr/>
      </w:pPr>
      <w:r>
        <w:rPr/>
        <w:t> </w:t>
      </w:r>
    </w:p>
    <w:p>
      <w:pPr>
        <w:pStyle w:val="TextBody"/>
        <w:bidi w:val="0"/>
        <w:spacing w:before="1" w:after="1"/>
        <w:ind w:left="1696" w:right="189" w:hanging="0"/>
        <w:jc w:val="both"/>
        <w:rPr>
          <w:sz w:val="20"/>
        </w:rPr>
      </w:pPr>
      <w:r>
        <w:rPr>
          <w:sz w:val="20"/>
        </w:rPr>
        <w:t>(1)           if a party fails to pay the Early Termination Amount due to the occurrence of an event or circumstance which would, if it occurred with respect to a payment or delivery under a Transaction, constitute or give rise to an Illegality or a Force Majeure Event, and for so long as the Early Termination Amount remains unpaid due to the continuing existence of such event or circumstance, the Applicable Deferral Rate;</w:t>
      </w:r>
    </w:p>
    <w:p>
      <w:pPr>
        <w:pStyle w:val="TextBody"/>
        <w:bidi w:val="0"/>
        <w:spacing w:before="8" w:after="8"/>
        <w:ind w:left="8" w:right="8" w:hanging="0"/>
        <w:jc w:val="left"/>
        <w:rPr/>
      </w:pPr>
      <w:r>
        <w:rPr/>
        <w:t> </w:t>
      </w:r>
    </w:p>
    <w:p>
      <w:pPr>
        <w:pStyle w:val="TextBody"/>
        <w:bidi w:val="0"/>
        <w:ind w:left="1696" w:right="190" w:hanging="0"/>
        <w:jc w:val="both"/>
        <w:rPr>
          <w:sz w:val="20"/>
        </w:rPr>
      </w:pPr>
      <w:r>
        <w:rPr>
          <w:sz w:val="20"/>
        </w:rPr>
        <w:t>(2)           if the Early Termination Amount is payable by a Defaulting Party (but excluding any period in respect of which clause (1) above applies), the Default Rate;</w:t>
      </w:r>
    </w:p>
    <w:p>
      <w:pPr>
        <w:pStyle w:val="TextBody"/>
        <w:bidi w:val="0"/>
        <w:spacing w:before="6" w:after="6"/>
        <w:ind w:left="6" w:right="6" w:hanging="0"/>
        <w:jc w:val="left"/>
        <w:rPr/>
      </w:pPr>
      <w:r>
        <w:rPr/>
        <w:t> </w:t>
      </w:r>
    </w:p>
    <w:p>
      <w:pPr>
        <w:pStyle w:val="TextBody"/>
        <w:bidi w:val="0"/>
        <w:ind w:left="1696" w:right="190" w:hanging="0"/>
        <w:jc w:val="both"/>
        <w:rPr>
          <w:sz w:val="20"/>
        </w:rPr>
      </w:pPr>
      <w:r>
        <w:rPr>
          <w:sz w:val="20"/>
        </w:rPr>
        <w:t>(3)           if the Early Termination Amount is payable by a Non-defaulting Party (but excluding any period in respect of which clause (1) above applies), the Non-default Rate; and</w:t>
      </w:r>
    </w:p>
    <w:p>
      <w:pPr>
        <w:pStyle w:val="TextBody"/>
        <w:bidi w:val="0"/>
        <w:spacing w:before="7" w:after="7"/>
        <w:ind w:left="7" w:right="7" w:hanging="0"/>
        <w:jc w:val="left"/>
        <w:rPr/>
      </w:pPr>
      <w:r>
        <w:rPr/>
        <w:t> </w:t>
      </w:r>
    </w:p>
    <w:tbl>
      <w:tblPr>
        <w:tblW w:w="5000" w:type="pct"/>
        <w:jc w:val="left"/>
        <w:tblInd w:w="0" w:type="dxa"/>
        <w:tblLayout w:type="fixed"/>
        <w:tblCellMar>
          <w:top w:w="0" w:type="dxa"/>
          <w:left w:w="0" w:type="dxa"/>
          <w:bottom w:w="0" w:type="dxa"/>
          <w:right w:w="0" w:type="dxa"/>
        </w:tblCellMar>
      </w:tblPr>
      <w:tblGrid>
        <w:gridCol w:w="94"/>
        <w:gridCol w:w="722"/>
        <w:gridCol w:w="9389"/>
      </w:tblGrid>
      <w:tr>
        <w:trPr/>
        <w:tc>
          <w:tcPr>
            <w:tcW w:w="9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pPr>
            <w:r>
              <w:rPr/>
              <w:t>(4)</w:t>
            </w:r>
          </w:p>
        </w:tc>
        <w:tc>
          <w:tcPr>
            <w:tcW w:w="9389" w:type="dxa"/>
            <w:tcBorders/>
            <w:vAlign w:val="center"/>
          </w:tcPr>
          <w:p>
            <w:pPr>
              <w:pStyle w:val="TableContents"/>
              <w:bidi w:val="0"/>
              <w:spacing w:before="0" w:after="283"/>
              <w:jc w:val="both"/>
              <w:rPr/>
            </w:pPr>
            <w:r>
              <w:rPr/>
              <w:t>in all other cases, the Termination Rate.</w:t>
            </w:r>
          </w:p>
        </w:tc>
      </w:tr>
    </w:tbl>
    <w:p>
      <w:pPr>
        <w:pStyle w:val="TextBody"/>
        <w:bidi w:val="0"/>
        <w:spacing w:before="174" w:after="174"/>
        <w:ind w:left="278" w:right="174" w:hanging="0"/>
        <w:jc w:val="both"/>
        <w:rPr/>
      </w:pPr>
      <w:r>
        <w:rPr/>
        <w:t>“</w:t>
      </w:r>
      <w:r>
        <w:rPr>
          <w:b/>
          <w:i/>
          <w:sz w:val="20"/>
        </w:rPr>
        <w:t xml:space="preserve">Applicable Deferral Rate” </w:t>
      </w:r>
      <w:r>
        <w:rPr>
          <w:sz w:val="20"/>
        </w:rPr>
        <w:t>means:</w:t>
      </w:r>
    </w:p>
    <w:p>
      <w:pPr>
        <w:pStyle w:val="TextBody"/>
        <w:bidi w:val="0"/>
        <w:spacing w:before="3" w:after="3"/>
        <w:ind w:left="3" w:right="3" w:hanging="0"/>
        <w:jc w:val="left"/>
        <w:rPr/>
      </w:pPr>
      <w:r>
        <w:rPr/>
        <w:t> </w:t>
      </w:r>
    </w:p>
    <w:p>
      <w:pPr>
        <w:pStyle w:val="TextBody"/>
        <w:bidi w:val="0"/>
        <w:ind w:left="278" w:right="191" w:hanging="0"/>
        <w:jc w:val="both"/>
        <w:rPr>
          <w:sz w:val="20"/>
        </w:rPr>
      </w:pPr>
      <w:r>
        <w:rPr>
          <w:sz w:val="20"/>
        </w:rPr>
        <w:t>(a)             for the purpose of Section 9(h)(i)(3)(A), the rate certified by the relevant payer to be a rate offered to the payer by a major bank in a relevant interbank market for overnight deposits in the applicable currency, such bank to be selected in good faith by the payer for the purpose of obtaining a representative rate that will reasonably reflect conditions prevailing at the time in that relevant market;</w:t>
      </w:r>
    </w:p>
    <w:p>
      <w:pPr>
        <w:pStyle w:val="TextBody"/>
        <w:bidi w:val="0"/>
        <w:spacing w:before="8" w:after="8"/>
        <w:ind w:left="8" w:right="8" w:hanging="0"/>
        <w:jc w:val="left"/>
        <w:rPr/>
      </w:pPr>
      <w:r>
        <w:rPr/>
        <w:t> </w:t>
      </w:r>
    </w:p>
    <w:p>
      <w:pPr>
        <w:pStyle w:val="TextBody"/>
        <w:bidi w:val="0"/>
        <w:ind w:left="278" w:right="188" w:hanging="0"/>
        <w:jc w:val="both"/>
        <w:rPr>
          <w:sz w:val="20"/>
        </w:rPr>
      </w:pPr>
      <w:r>
        <w:rPr>
          <w:sz w:val="20"/>
        </w:rPr>
        <w:t>(b)            for purposes of Section 9(h)(i)(3)(B) and clause (a)(iii) of the definition of Applicable Close-out Rate, the rate certified by the relevant payer to be a rate offered to prime banks by a major bank in a relevant interbank market for overnight deposits in the applicable currency, such bank to be selected in good faith by the payer after consultation with the other party, if practicable, for the purpose of obtaining a representative rate that will reasonably reflect conditions prevailing at the time in that relevant market; and</w:t>
      </w:r>
    </w:p>
    <w:p>
      <w:pPr>
        <w:pStyle w:val="TextBody"/>
        <w:bidi w:val="0"/>
        <w:spacing w:before="8" w:after="8"/>
        <w:ind w:left="8" w:right="8" w:hanging="0"/>
        <w:jc w:val="left"/>
        <w:rPr/>
      </w:pPr>
      <w:r>
        <w:rPr/>
        <w:t> </w:t>
      </w:r>
    </w:p>
    <w:p>
      <w:pPr>
        <w:pStyle w:val="TextBody"/>
        <w:bidi w:val="0"/>
        <w:ind w:left="278" w:right="190" w:hanging="0"/>
        <w:jc w:val="both"/>
        <w:rPr>
          <w:sz w:val="20"/>
        </w:rPr>
      </w:pPr>
      <w:r>
        <w:rPr>
          <w:sz w:val="20"/>
        </w:rPr>
        <w:t>(c)             for purposes of Section 9(h)(i)(3)(C) and clauses (a)(iv), (b)(i)(3) and (b)(ii)(1) of the definition of Applicable Close-out Rate, a rate equal to the arithmetic mean of the rate determined pursuant to clause (a) above and a rate per annum equal to the cost (without proof or evidence of any actual cost) to the relevant payee (as certified by it) if it were to fund or of funding the relevant amount.</w:t>
      </w:r>
    </w:p>
    <w:p>
      <w:pPr>
        <w:pStyle w:val="TextBody"/>
        <w:bidi w:val="0"/>
        <w:spacing w:before="172" w:after="172"/>
        <w:ind w:left="278" w:right="172" w:hanging="0"/>
        <w:jc w:val="both"/>
        <w:rPr/>
      </w:pPr>
      <w:r>
        <w:rPr/>
        <w:t>“</w:t>
      </w:r>
      <w:r>
        <w:rPr>
          <w:b/>
          <w:i/>
          <w:sz w:val="20"/>
        </w:rPr>
        <w:t xml:space="preserve">Automatic Early Termination” </w:t>
      </w:r>
      <w:r>
        <w:rPr>
          <w:sz w:val="20"/>
        </w:rPr>
        <w:t>has the meaning specified in Section 6(a).</w:t>
      </w:r>
    </w:p>
    <w:p>
      <w:pPr>
        <w:pStyle w:val="TextBody"/>
        <w:bidi w:val="0"/>
        <w:spacing w:before="133" w:after="133"/>
        <w:ind w:left="278" w:right="133" w:hanging="0"/>
        <w:jc w:val="both"/>
        <w:rPr/>
      </w:pPr>
      <w:r>
        <w:rPr/>
        <w:t>“</w:t>
      </w:r>
      <w:r>
        <w:rPr>
          <w:b/>
          <w:i/>
          <w:sz w:val="20"/>
        </w:rPr>
        <w:t xml:space="preserve">Burdened Party” </w:t>
      </w:r>
      <w:r>
        <w:rPr>
          <w:sz w:val="20"/>
        </w:rPr>
        <w:t>has the meaning specified in Section 5(b)(iv).</w:t>
      </w:r>
    </w:p>
    <w:p>
      <w:pPr>
        <w:pStyle w:val="TextBody"/>
        <w:bidi w:val="0"/>
        <w:spacing w:before="148" w:after="148"/>
        <w:ind w:left="278" w:right="193" w:hanging="0"/>
        <w:jc w:val="both"/>
        <w:rPr/>
      </w:pPr>
      <w:r>
        <w:rPr/>
        <w:t>“</w:t>
      </w:r>
      <w:r>
        <w:rPr>
          <w:b/>
          <w:i/>
          <w:sz w:val="20"/>
        </w:rPr>
        <w:t xml:space="preserve">Change in Tax Law” </w:t>
      </w:r>
      <w:r>
        <w:rPr>
          <w:sz w:val="20"/>
        </w:rPr>
        <w:t>means the enactment, promulgation, execution or ratification of, or any change in or amendment to, any law (or in the application or official interpretation of any law) that occurs after the parties enter into the relevant Transaction.</w:t>
      </w:r>
    </w:p>
    <w:p>
      <w:pPr>
        <w:pStyle w:val="TextBody"/>
        <w:bidi w:val="0"/>
        <w:spacing w:before="191" w:after="191"/>
        <w:ind w:left="278" w:right="192" w:hanging="1"/>
        <w:jc w:val="both"/>
        <w:rPr/>
      </w:pPr>
      <w:r>
        <w:rPr/>
        <w:t>“</w:t>
      </w:r>
      <w:r>
        <w:rPr>
          <w:b/>
          <w:i/>
          <w:sz w:val="20"/>
        </w:rPr>
        <w:t xml:space="preserve">Close-out Amount” </w:t>
      </w:r>
      <w:r>
        <w:rPr>
          <w:sz w:val="20"/>
        </w:rPr>
        <w:t>means, with respect to each Terminated Transaction or each group of Terminated Transactions and a Determining Party, the amount of the losses or costs of the Determining Party that are or would be incurred under then prevailing circumstances (expressed as a positive number) or gains of the Determining Party that are or would be realised under then prevailing circumstances (expressed as a negative number) in replacing, or in providing for the Determining Party the economic equivalent of, (a) the material terms of that Terminated Transaction or group of Terminated Transactions, including the payments and deliveries by the parties under Section 2(a)(i) in respect of that Terminated Transaction or group of Terminated Transactions that would, but for the occurrence of the relevant Early Termination Date, have been required after that date (assuming satisfaction of the conditions precedent in Section 2(a)(iii)) and (b) the option rights of the parties in respect of that Terminated Transaction or group of Terminated Transactions.</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1" w:after="1"/>
        <w:ind w:left="278" w:right="192" w:hanging="0"/>
        <w:jc w:val="both"/>
        <w:rPr>
          <w:sz w:val="20"/>
        </w:rPr>
      </w:pPr>
      <w:r>
        <w:rPr>
          <w:sz w:val="20"/>
        </w:rPr>
        <w:t>Any Close-out Amount will be determined by the Determining Party (or its agent), which will act in good faith and use commercially reasonable procedures in order to produce a commercially reasonable result. The Determining Party may determine a Close-out Amount for any group of Terminated Transactions or any individual Terminated Transaction but, in the aggregate, for not less than all Terminated Transactions. Each Close-out Amount will be determined as of the Early Termination Date or, if that would not be commercially reasonable, as of the date or dates following the Early Termination Date as would be commercially reasonable.</w:t>
      </w:r>
    </w:p>
    <w:p>
      <w:pPr>
        <w:pStyle w:val="TextBody"/>
        <w:bidi w:val="0"/>
        <w:spacing w:before="8" w:after="8"/>
        <w:ind w:left="8" w:right="8" w:hanging="0"/>
        <w:jc w:val="left"/>
        <w:rPr/>
      </w:pPr>
      <w:r>
        <w:rPr/>
        <w:t> </w:t>
      </w:r>
    </w:p>
    <w:p>
      <w:pPr>
        <w:pStyle w:val="TextBody"/>
        <w:bidi w:val="0"/>
        <w:ind w:left="278" w:right="190" w:hanging="0"/>
        <w:jc w:val="both"/>
        <w:rPr>
          <w:sz w:val="20"/>
        </w:rPr>
      </w:pPr>
      <w:r>
        <w:rPr>
          <w:sz w:val="20"/>
        </w:rPr>
        <w:t>Unpaid Amounts in respect of a Terminated Transaction or group of Terminated Transactions and legal fees and out- of-pocket expenses referred to in Section 11 are to be excluded in all determinations of Close-out Amounts.</w:t>
      </w:r>
    </w:p>
    <w:p>
      <w:pPr>
        <w:pStyle w:val="TextBody"/>
        <w:bidi w:val="0"/>
        <w:spacing w:before="7" w:after="7"/>
        <w:ind w:left="7" w:right="7" w:hanging="0"/>
        <w:jc w:val="left"/>
        <w:rPr/>
      </w:pPr>
      <w:r>
        <w:rPr/>
        <w:t> </w:t>
      </w:r>
    </w:p>
    <w:p>
      <w:pPr>
        <w:pStyle w:val="TextBody"/>
        <w:bidi w:val="0"/>
        <w:ind w:left="278" w:right="192" w:hanging="0"/>
        <w:jc w:val="both"/>
        <w:rPr>
          <w:sz w:val="20"/>
        </w:rPr>
      </w:pPr>
      <w:r>
        <w:rPr>
          <w:sz w:val="20"/>
        </w:rPr>
        <w:t>In determining a Close-out Amount, the Determining Party may consider any relevant information, including, without limitation, one or more of the following types of information:</w:t>
      </w:r>
    </w:p>
    <w:p>
      <w:pPr>
        <w:pStyle w:val="TextBody"/>
        <w:bidi w:val="0"/>
        <w:spacing w:before="6" w:after="6"/>
        <w:ind w:left="6" w:right="6" w:hanging="0"/>
        <w:jc w:val="left"/>
        <w:rPr/>
      </w:pPr>
      <w:r>
        <w:rPr/>
        <w:t> </w:t>
      </w:r>
    </w:p>
    <w:p>
      <w:pPr>
        <w:pStyle w:val="TextBody"/>
        <w:bidi w:val="0"/>
        <w:ind w:left="278" w:right="192" w:hanging="0"/>
        <w:jc w:val="both"/>
        <w:rPr>
          <w:sz w:val="20"/>
        </w:rPr>
      </w:pPr>
      <w:r>
        <w:rPr>
          <w:sz w:val="20"/>
        </w:rPr>
        <w:t>(i)             quotations (either firm or indicative) for replacement transactions supplied by one or more third parties that may take into account the creditworthiness of the Determining Party at the time the quotation is provided and the terms of any relevant documentation, including credit support documentation, between the Determining Party and the third party providing the quotation;</w:t>
      </w:r>
    </w:p>
    <w:p>
      <w:pPr>
        <w:pStyle w:val="TextBody"/>
        <w:bidi w:val="0"/>
        <w:spacing w:before="8" w:after="8"/>
        <w:ind w:left="8" w:right="8" w:hanging="0"/>
        <w:jc w:val="left"/>
        <w:rPr/>
      </w:pPr>
      <w:r>
        <w:rPr/>
        <w:t> </w:t>
      </w:r>
    </w:p>
    <w:p>
      <w:pPr>
        <w:pStyle w:val="TextBody"/>
        <w:bidi w:val="0"/>
        <w:ind w:left="278" w:right="192" w:hanging="0"/>
        <w:jc w:val="both"/>
        <w:rPr>
          <w:sz w:val="20"/>
        </w:rPr>
      </w:pPr>
      <w:r>
        <w:rPr>
          <w:sz w:val="20"/>
        </w:rPr>
        <w:t>(ii)            information consisting of relevant market data in the relevant market supplied by one or more third parties including, without limitation, relevant rates, prices, yields, yield curves, volatilities, spreads, correlations or other relevant market data in the relevant market; or</w:t>
      </w:r>
    </w:p>
    <w:p>
      <w:pPr>
        <w:pStyle w:val="TextBody"/>
        <w:bidi w:val="0"/>
        <w:spacing w:before="7" w:after="7"/>
        <w:ind w:left="7" w:right="7" w:hanging="0"/>
        <w:jc w:val="left"/>
        <w:rPr/>
      </w:pPr>
      <w:r>
        <w:rPr/>
        <w:t> </w:t>
      </w:r>
    </w:p>
    <w:p>
      <w:pPr>
        <w:pStyle w:val="TextBody"/>
        <w:bidi w:val="0"/>
        <w:ind w:left="278" w:right="194" w:hanging="0"/>
        <w:jc w:val="both"/>
        <w:rPr>
          <w:sz w:val="20"/>
        </w:rPr>
      </w:pPr>
      <w:r>
        <w:rPr>
          <w:sz w:val="20"/>
        </w:rPr>
        <w:t>(iii)           information of the types described in clause (i) or (ii) above from internal sources (including any of the Determining Party’s Affiliates) if that information is of the same type used by the Determining Party in the regular course of its business for the valuation of similar transactions.</w:t>
      </w:r>
    </w:p>
    <w:p>
      <w:pPr>
        <w:pStyle w:val="TextBody"/>
        <w:bidi w:val="0"/>
        <w:spacing w:before="7" w:after="7"/>
        <w:ind w:left="7" w:right="7" w:hanging="0"/>
        <w:jc w:val="left"/>
        <w:rPr/>
      </w:pPr>
      <w:r>
        <w:rPr/>
        <w:t> </w:t>
      </w:r>
    </w:p>
    <w:p>
      <w:pPr>
        <w:pStyle w:val="TextBody"/>
        <w:bidi w:val="0"/>
        <w:ind w:left="278" w:right="192" w:hanging="0"/>
        <w:jc w:val="both"/>
        <w:rPr>
          <w:sz w:val="20"/>
        </w:rPr>
      </w:pPr>
      <w:r>
        <w:rPr>
          <w:sz w:val="20"/>
        </w:rPr>
        <w:t>The Determining Party will consider, taking into account the standards and procedures described in this definition, quotations pursuant to clause (i) above or relevant market data pursuant to clause (ii) above unless the Determining Party reasonably believes in good faith that such quotations or relevant market data are not readily available or would produce a result that would not satisfy those standards. When considering information described in clause (i), (ii) or (iii) above, the Determining Party may include costs of funding, to the extent costs of funding are not and would not be a component of the other information being utilised. Third parties supplying quotations pursuant to clause (i) above or market data pursuant to clause (ii) above may include, without limitation, dealers in the relevant markets, end-users of the relevant product, information vendors, brokers and other sources of market information.</w:t>
      </w:r>
    </w:p>
    <w:p>
      <w:pPr>
        <w:pStyle w:val="TextBody"/>
        <w:bidi w:val="0"/>
        <w:spacing w:before="7" w:after="7"/>
        <w:ind w:left="7" w:right="7" w:hanging="0"/>
        <w:jc w:val="left"/>
        <w:rPr/>
      </w:pPr>
      <w:r>
        <w:rPr/>
        <w:t> </w:t>
      </w:r>
    </w:p>
    <w:p>
      <w:pPr>
        <w:pStyle w:val="TextBody"/>
        <w:bidi w:val="0"/>
        <w:ind w:left="278" w:right="191" w:hanging="0"/>
        <w:jc w:val="both"/>
        <w:rPr>
          <w:sz w:val="20"/>
        </w:rPr>
      </w:pPr>
      <w:r>
        <w:rPr>
          <w:sz w:val="20"/>
        </w:rPr>
        <w:t>Without duplication of amounts calculated based on information described in clause (i), (ii) or (iii) above, or other relevant information, and when it is commercially reasonable to do so, the Determining Party may in addition consider in calculating a Close-out Amount any loss or cost incurred in connection with its terminating, liquidating or re-establishing any hedge related to a Terminated Transaction or group of Terminated Transactions (or any gain resulting from any of them).</w:t>
      </w:r>
    </w:p>
    <w:p>
      <w:pPr>
        <w:pStyle w:val="TextBody"/>
        <w:bidi w:val="0"/>
        <w:spacing w:before="8" w:after="8"/>
        <w:ind w:left="8" w:right="8" w:hanging="0"/>
        <w:jc w:val="left"/>
        <w:rPr/>
      </w:pPr>
      <w:r>
        <w:rPr/>
        <w:t> </w:t>
      </w:r>
    </w:p>
    <w:p>
      <w:pPr>
        <w:pStyle w:val="TextBody"/>
        <w:bidi w:val="0"/>
        <w:spacing w:before="1" w:after="1"/>
        <w:ind w:left="278" w:right="1" w:hanging="0"/>
        <w:jc w:val="both"/>
        <w:rPr>
          <w:sz w:val="20"/>
        </w:rPr>
      </w:pPr>
      <w:r>
        <w:rPr>
          <w:sz w:val="20"/>
        </w:rPr>
        <w:t>Commercially reasonable procedures used in determining a Close-out Amount may include the following:</w:t>
      </w:r>
    </w:p>
    <w:p>
      <w:pPr>
        <w:pStyle w:val="TextBody"/>
        <w:bidi w:val="0"/>
        <w:spacing w:before="10" w:after="10"/>
        <w:ind w:left="10" w:right="10" w:hanging="0"/>
        <w:jc w:val="left"/>
        <w:rPr/>
      </w:pPr>
      <w:r>
        <w:rPr/>
        <w:t> </w:t>
      </w:r>
    </w:p>
    <w:p>
      <w:pPr>
        <w:pStyle w:val="TextBody"/>
        <w:bidi w:val="0"/>
        <w:ind w:left="278" w:right="191" w:hanging="0"/>
        <w:jc w:val="both"/>
        <w:rPr>
          <w:sz w:val="20"/>
        </w:rPr>
      </w:pPr>
      <w:r>
        <w:rPr>
          <w:sz w:val="20"/>
        </w:rPr>
        <w:t>(1)            application to relevant market data from third parties pursuant to clause (ii) above or information from internal sources pursuant to clause (iii) above of pricing or other valuation models that are, at the time of the determination of the Close-out Amount, used by the Determining Party in the regular course of its business in pricing or valuing transactions between the Determining Party and unrelated third parties that are similar to the Terminated Transaction or group of Terminated Transactions; and</w:t>
      </w:r>
    </w:p>
    <w:p>
      <w:pPr>
        <w:pStyle w:val="TextBody"/>
        <w:bidi w:val="0"/>
        <w:ind w:left="278" w:right="191"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ind w:left="278" w:right="193" w:hanging="0"/>
        <w:jc w:val="both"/>
        <w:rPr>
          <w:sz w:val="20"/>
        </w:rPr>
      </w:pPr>
      <w:r>
        <w:rPr>
          <w:sz w:val="20"/>
        </w:rPr>
        <w:t>(2)            application of different valuation methods to Terminated Transactions or groups of Terminated Transactions depending on the type, complexity, size or number of the Terminated Transactions or group of Terminated Transactions.</w:t>
      </w:r>
    </w:p>
    <w:p>
      <w:pPr>
        <w:pStyle w:val="TextBody"/>
        <w:bidi w:val="0"/>
        <w:spacing w:before="169" w:after="169"/>
        <w:ind w:left="278" w:right="169" w:hanging="0"/>
        <w:jc w:val="both"/>
        <w:rPr/>
      </w:pPr>
      <w:r>
        <w:rPr/>
        <w:t>“</w:t>
      </w:r>
      <w:r>
        <w:rPr>
          <w:b/>
          <w:i/>
          <w:sz w:val="20"/>
        </w:rPr>
        <w:t xml:space="preserve">Confirmation” </w:t>
      </w:r>
      <w:r>
        <w:rPr>
          <w:sz w:val="20"/>
        </w:rPr>
        <w:t>has the meaning specified in the preamble.</w:t>
      </w:r>
    </w:p>
    <w:p>
      <w:pPr>
        <w:pStyle w:val="TextBody"/>
        <w:bidi w:val="0"/>
        <w:spacing w:before="163" w:after="163"/>
        <w:ind w:left="278" w:right="195" w:hanging="0"/>
        <w:jc w:val="both"/>
        <w:rPr/>
      </w:pPr>
      <w:r>
        <w:rPr/>
        <w:t>“</w:t>
      </w:r>
      <w:r>
        <w:rPr>
          <w:b/>
          <w:i/>
          <w:sz w:val="20"/>
        </w:rPr>
        <w:t xml:space="preserve">consent” </w:t>
      </w:r>
      <w:r>
        <w:rPr>
          <w:sz w:val="20"/>
        </w:rPr>
        <w:t>includes a consent, approval, action, authorisation, exemption, notice, filing, registration or exchange control consent.</w:t>
      </w:r>
    </w:p>
    <w:p>
      <w:pPr>
        <w:pStyle w:val="TextBody"/>
        <w:bidi w:val="0"/>
        <w:spacing w:before="179" w:after="179"/>
        <w:ind w:left="278" w:right="179" w:hanging="0"/>
        <w:jc w:val="left"/>
        <w:rPr/>
      </w:pPr>
      <w:r>
        <w:rPr/>
        <w:t>“</w:t>
      </w:r>
      <w:r>
        <w:rPr>
          <w:b/>
          <w:i/>
          <w:sz w:val="20"/>
        </w:rPr>
        <w:t xml:space="preserve">Contractual Currency” </w:t>
      </w:r>
      <w:r>
        <w:rPr>
          <w:sz w:val="20"/>
        </w:rPr>
        <w:t>has the meaning specified in Section 8(a).</w:t>
      </w:r>
    </w:p>
    <w:p>
      <w:pPr>
        <w:pStyle w:val="TextBody"/>
        <w:bidi w:val="0"/>
        <w:spacing w:before="166" w:after="166"/>
        <w:ind w:left="278" w:right="166" w:hanging="0"/>
        <w:jc w:val="left"/>
        <w:rPr/>
      </w:pPr>
      <w:r>
        <w:rPr/>
        <w:t>“</w:t>
      </w:r>
      <w:r>
        <w:rPr>
          <w:b/>
          <w:i/>
          <w:sz w:val="20"/>
        </w:rPr>
        <w:t xml:space="preserve">Convention Court” </w:t>
      </w:r>
      <w:r>
        <w:rPr>
          <w:sz w:val="20"/>
        </w:rPr>
        <w:t>means any court which is bound to apply to the Proceedings either Article 17 of the 1968 Brussels Convention on Jurisdiction and the Enforcement of Judgments in Civil and Commercial Matters or Article 17 of the 1988 Lugano Convention on Jurisdiction and the Enforcement of Judgments in Civil and Commercial Matters.</w:t>
      </w:r>
    </w:p>
    <w:p>
      <w:pPr>
        <w:pStyle w:val="TextBody"/>
        <w:bidi w:val="0"/>
        <w:spacing w:before="171" w:after="171"/>
        <w:ind w:left="278" w:right="171" w:hanging="0"/>
        <w:jc w:val="left"/>
        <w:rPr/>
      </w:pPr>
      <w:r>
        <w:rPr/>
        <w:t>“</w:t>
      </w:r>
      <w:r>
        <w:rPr>
          <w:b/>
          <w:i/>
          <w:sz w:val="20"/>
        </w:rPr>
        <w:t xml:space="preserve">Credit Event Upon Merger” </w:t>
      </w:r>
      <w:r>
        <w:rPr>
          <w:sz w:val="20"/>
        </w:rPr>
        <w:t>has the meaning specified in Section 5(b).</w:t>
      </w:r>
    </w:p>
    <w:p>
      <w:pPr>
        <w:pStyle w:val="TextBody"/>
        <w:bidi w:val="0"/>
        <w:spacing w:before="133" w:after="133"/>
        <w:ind w:left="278" w:right="133" w:hanging="0"/>
        <w:jc w:val="left"/>
        <w:rPr/>
      </w:pPr>
      <w:r>
        <w:rPr/>
        <w:t>“</w:t>
      </w:r>
      <w:r>
        <w:rPr>
          <w:b/>
          <w:i/>
          <w:sz w:val="20"/>
        </w:rPr>
        <w:t xml:space="preserve">Credit Support Document” </w:t>
      </w:r>
      <w:r>
        <w:rPr>
          <w:sz w:val="20"/>
        </w:rPr>
        <w:t>means any agreement or instrument that is specified as such in this Agreement.</w:t>
      </w:r>
    </w:p>
    <w:p>
      <w:pPr>
        <w:pStyle w:val="TextBody"/>
        <w:bidi w:val="0"/>
        <w:spacing w:before="132" w:after="132"/>
        <w:ind w:left="278" w:right="132" w:hanging="0"/>
        <w:jc w:val="left"/>
        <w:rPr/>
      </w:pPr>
      <w:r>
        <w:rPr/>
        <w:t>“</w:t>
      </w:r>
      <w:r>
        <w:rPr>
          <w:b/>
          <w:i/>
          <w:sz w:val="20"/>
        </w:rPr>
        <w:t xml:space="preserve">Credit Support Provider” </w:t>
      </w:r>
      <w:r>
        <w:rPr>
          <w:sz w:val="20"/>
        </w:rPr>
        <w:t>has the meaning specified in the Schedule.</w:t>
      </w:r>
    </w:p>
    <w:p>
      <w:pPr>
        <w:pStyle w:val="TextBody"/>
        <w:bidi w:val="0"/>
        <w:spacing w:before="133" w:after="133"/>
        <w:ind w:left="278" w:right="133" w:hanging="0"/>
        <w:jc w:val="left"/>
        <w:rPr/>
      </w:pPr>
      <w:r>
        <w:rPr/>
        <w:t>“</w:t>
      </w:r>
      <w:r>
        <w:rPr>
          <w:b/>
          <w:i/>
          <w:sz w:val="20"/>
        </w:rPr>
        <w:t xml:space="preserve">Cross-Default” </w:t>
      </w:r>
      <w:r>
        <w:rPr>
          <w:sz w:val="20"/>
        </w:rPr>
        <w:t>means the event specified in Section 5(a)(vi).</w:t>
      </w:r>
    </w:p>
    <w:p>
      <w:pPr>
        <w:pStyle w:val="TextBody"/>
        <w:bidi w:val="0"/>
        <w:spacing w:before="166" w:after="166"/>
        <w:ind w:left="278" w:right="106" w:hanging="0"/>
        <w:jc w:val="left"/>
        <w:rPr/>
      </w:pPr>
      <w:r>
        <w:rPr/>
        <w:t>“</w:t>
      </w:r>
      <w:r>
        <w:rPr>
          <w:b/>
          <w:i/>
          <w:sz w:val="20"/>
        </w:rPr>
        <w:t xml:space="preserve">Default Rate” </w:t>
      </w:r>
      <w:r>
        <w:rPr>
          <w:sz w:val="20"/>
        </w:rPr>
        <w:t>means a rate per annum equal to the cost (without proof or evidence of any actual cost) to the relevant payee (as certified by it) if it were to fund or of funding the relevant amount plus 1% per annum.</w:t>
      </w:r>
    </w:p>
    <w:p>
      <w:pPr>
        <w:pStyle w:val="TextBody"/>
        <w:bidi w:val="0"/>
        <w:spacing w:before="179" w:after="179"/>
        <w:ind w:left="278" w:right="3617" w:hanging="0"/>
        <w:jc w:val="left"/>
        <w:rPr/>
      </w:pPr>
      <w:r>
        <w:rPr/>
        <w:t>“</w:t>
      </w:r>
      <w:r>
        <w:rPr>
          <w:b/>
          <w:i/>
          <w:sz w:val="20"/>
        </w:rPr>
        <w:t xml:space="preserve">Defaulting Party” </w:t>
      </w:r>
      <w:r>
        <w:rPr>
          <w:sz w:val="20"/>
        </w:rPr>
        <w:t xml:space="preserve">has the meaning specified in Section 6(a). </w:t>
      </w:r>
    </w:p>
    <w:p>
      <w:pPr>
        <w:pStyle w:val="TextBody"/>
        <w:bidi w:val="0"/>
        <w:spacing w:before="179" w:after="179"/>
        <w:ind w:left="278" w:right="3617" w:hanging="0"/>
        <w:jc w:val="left"/>
        <w:rPr/>
      </w:pPr>
      <w:r>
        <w:rPr/>
        <w:t>“</w:t>
      </w:r>
      <w:r>
        <w:rPr>
          <w:b/>
          <w:i/>
          <w:sz w:val="20"/>
        </w:rPr>
        <w:t xml:space="preserve">Designated Event” </w:t>
      </w:r>
      <w:r>
        <w:rPr>
          <w:sz w:val="20"/>
        </w:rPr>
        <w:t>has the meaning specified in Section 5(b)(v).</w:t>
      </w:r>
    </w:p>
    <w:p>
      <w:pPr>
        <w:pStyle w:val="TextBody"/>
        <w:bidi w:val="0"/>
        <w:spacing w:before="179" w:after="179"/>
        <w:ind w:left="278" w:right="3617" w:hanging="0"/>
        <w:jc w:val="left"/>
        <w:rPr/>
      </w:pPr>
      <w:r>
        <w:rPr/>
        <w:t>“</w:t>
      </w:r>
      <w:r>
        <w:rPr>
          <w:b/>
          <w:i/>
          <w:sz w:val="20"/>
        </w:rPr>
        <w:t xml:space="preserve">Determining Party” </w:t>
      </w:r>
      <w:r>
        <w:rPr>
          <w:sz w:val="20"/>
        </w:rPr>
        <w:t>means the party determining a Close-out Amount.</w:t>
      </w:r>
    </w:p>
    <w:p>
      <w:pPr>
        <w:pStyle w:val="TextBody"/>
        <w:bidi w:val="0"/>
        <w:spacing w:before="179" w:after="179"/>
        <w:ind w:left="278" w:right="3617" w:hanging="0"/>
        <w:jc w:val="left"/>
        <w:rPr/>
      </w:pPr>
      <w:r>
        <w:rPr/>
        <w:t>“</w:t>
      </w:r>
      <w:r>
        <w:rPr>
          <w:b/>
          <w:i/>
          <w:sz w:val="20"/>
        </w:rPr>
        <w:t xml:space="preserve">Early Termination Amount” </w:t>
      </w:r>
      <w:r>
        <w:rPr>
          <w:sz w:val="20"/>
        </w:rPr>
        <w:t>has the meaning specified in Section 6(e).</w:t>
      </w:r>
    </w:p>
    <w:p>
      <w:pPr>
        <w:pStyle w:val="TextBody"/>
        <w:bidi w:val="0"/>
        <w:ind w:left="278" w:right="0" w:hanging="0"/>
        <w:jc w:val="left"/>
        <w:rPr/>
      </w:pPr>
      <w:r>
        <w:rPr/>
        <w:t>“</w:t>
      </w:r>
      <w:r>
        <w:rPr>
          <w:b/>
          <w:i/>
          <w:sz w:val="20"/>
        </w:rPr>
        <w:t xml:space="preserve">Early Termination Date” </w:t>
      </w:r>
      <w:r>
        <w:rPr>
          <w:sz w:val="20"/>
        </w:rPr>
        <w:t>means the date determined in accordance with Section 6(a) or 6(b)(iv).</w:t>
      </w:r>
    </w:p>
    <w:p>
      <w:pPr>
        <w:pStyle w:val="TextBody"/>
        <w:bidi w:val="0"/>
        <w:spacing w:before="132" w:after="132"/>
        <w:ind w:left="278" w:right="132" w:hanging="0"/>
        <w:jc w:val="left"/>
        <w:rPr/>
      </w:pPr>
      <w:r>
        <w:rPr/>
        <w:t>“</w:t>
      </w:r>
      <w:r>
        <w:rPr>
          <w:b/>
          <w:i/>
          <w:sz w:val="20"/>
        </w:rPr>
        <w:t xml:space="preserve">electronic messages” </w:t>
      </w:r>
      <w:r>
        <w:rPr>
          <w:sz w:val="20"/>
        </w:rPr>
        <w:t>does not include e-mails but does include documents expressed in markup languages, and</w:t>
      </w:r>
    </w:p>
    <w:p>
      <w:pPr>
        <w:pStyle w:val="TextBody"/>
        <w:bidi w:val="0"/>
        <w:ind w:left="278" w:right="0" w:hanging="0"/>
        <w:jc w:val="left"/>
        <w:rPr/>
      </w:pPr>
      <w:r>
        <w:rPr/>
        <w:t>“</w:t>
      </w:r>
      <w:r>
        <w:rPr>
          <w:b/>
          <w:i/>
          <w:sz w:val="20"/>
        </w:rPr>
        <w:t xml:space="preserve">electronic messaging system” </w:t>
      </w:r>
      <w:r>
        <w:rPr>
          <w:sz w:val="20"/>
        </w:rPr>
        <w:t>will be construed accordingly.</w:t>
      </w:r>
    </w:p>
    <w:p>
      <w:pPr>
        <w:pStyle w:val="TextBody"/>
        <w:bidi w:val="0"/>
        <w:spacing w:before="133" w:after="133"/>
        <w:ind w:left="278" w:right="1302" w:hanging="0"/>
        <w:jc w:val="left"/>
        <w:rPr/>
      </w:pPr>
      <w:r>
        <w:rPr/>
        <w:t>“</w:t>
      </w:r>
      <w:r>
        <w:rPr>
          <w:b/>
          <w:i/>
          <w:sz w:val="20"/>
        </w:rPr>
        <w:t xml:space="preserve">English law” </w:t>
      </w:r>
      <w:r>
        <w:rPr>
          <w:sz w:val="20"/>
        </w:rPr>
        <w:t>means the law of England and Wales, and “</w:t>
      </w:r>
      <w:r>
        <w:rPr>
          <w:b/>
          <w:i/>
          <w:sz w:val="20"/>
        </w:rPr>
        <w:t xml:space="preserve">English” </w:t>
      </w:r>
      <w:r>
        <w:rPr>
          <w:sz w:val="20"/>
        </w:rPr>
        <w:t>will be construed accordingly.</w:t>
      </w:r>
    </w:p>
    <w:p>
      <w:pPr>
        <w:pStyle w:val="TextBody"/>
        <w:bidi w:val="0"/>
        <w:spacing w:before="133" w:after="133"/>
        <w:ind w:left="278" w:right="1302" w:hanging="0"/>
        <w:jc w:val="left"/>
        <w:rPr/>
      </w:pPr>
      <w:r>
        <w:rPr/>
        <w:t>“</w:t>
      </w:r>
      <w:r>
        <w:rPr>
          <w:b/>
          <w:i/>
          <w:sz w:val="20"/>
        </w:rPr>
        <w:t xml:space="preserve">Event of Default” </w:t>
      </w:r>
      <w:r>
        <w:rPr>
          <w:sz w:val="20"/>
        </w:rPr>
        <w:t xml:space="preserve">has the meaning specified in Section 5(a) and, if applicable, in the Schedule. </w:t>
      </w:r>
    </w:p>
    <w:p>
      <w:pPr>
        <w:pStyle w:val="TextBody"/>
        <w:bidi w:val="0"/>
        <w:spacing w:before="133" w:after="133"/>
        <w:ind w:left="278" w:right="1302" w:hanging="0"/>
        <w:jc w:val="left"/>
        <w:rPr/>
      </w:pPr>
      <w:r>
        <w:rPr/>
        <w:t>“</w:t>
      </w:r>
      <w:r>
        <w:rPr>
          <w:b/>
          <w:i/>
          <w:sz w:val="20"/>
        </w:rPr>
        <w:t xml:space="preserve">Force Majeure Event” </w:t>
      </w:r>
      <w:r>
        <w:rPr>
          <w:sz w:val="20"/>
        </w:rPr>
        <w:t>has the meaning specified in Section 5(b).</w:t>
      </w:r>
    </w:p>
    <w:p>
      <w:pPr>
        <w:pStyle w:val="TextBody"/>
        <w:bidi w:val="0"/>
        <w:spacing w:before="36" w:after="36"/>
        <w:ind w:left="278" w:right="106" w:hanging="0"/>
        <w:jc w:val="left"/>
        <w:rPr/>
      </w:pPr>
      <w:r>
        <w:rPr/>
        <w:t>“</w:t>
      </w:r>
      <w:r>
        <w:rPr>
          <w:b/>
          <w:i/>
          <w:sz w:val="20"/>
        </w:rPr>
        <w:t xml:space="preserve">General Business Day” </w:t>
      </w:r>
      <w:r>
        <w:rPr>
          <w:sz w:val="20"/>
        </w:rPr>
        <w:t>means a day on which commercial banks are open for general business (including dealings in foreign exchange and foreign currency deposits).</w:t>
      </w:r>
    </w:p>
    <w:p>
      <w:pPr>
        <w:pStyle w:val="TextBody"/>
        <w:bidi w:val="0"/>
        <w:spacing w:before="177" w:after="177"/>
        <w:ind w:left="278" w:right="177" w:hanging="0"/>
        <w:jc w:val="left"/>
        <w:rPr/>
      </w:pPr>
      <w:r>
        <w:rPr/>
        <w:t>“</w:t>
      </w:r>
      <w:r>
        <w:rPr>
          <w:b/>
          <w:i/>
          <w:sz w:val="20"/>
        </w:rPr>
        <w:t xml:space="preserve">Illegality” </w:t>
      </w:r>
      <w:r>
        <w:rPr>
          <w:sz w:val="20"/>
        </w:rPr>
        <w:t>has the meaning specified in Section 5(b).</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159" w:after="159"/>
        <w:ind w:left="278" w:right="189" w:hanging="0"/>
        <w:jc w:val="both"/>
        <w:rPr/>
      </w:pPr>
      <w:r>
        <w:rPr/>
        <w:t>“</w:t>
      </w:r>
      <w:r>
        <w:rPr>
          <w:b/>
          <w:i/>
          <w:sz w:val="20"/>
        </w:rPr>
        <w:t xml:space="preserve">Indemnifiable Tax” </w:t>
      </w:r>
      <w:r>
        <w:rPr>
          <w:sz w:val="20"/>
        </w:rPr>
        <w:t>means any Tax other than a Tax that would not be imposed in respect of a payment under this Agreement but for a present or former connection between the jurisdiction of the government or taxation authority imposing such Tax and the recipient of such payment or a person related to such recipient (including, without limitation, a connection arising from such recipient or related person being or having been a citizen or resident of such jurisdiction, or being or having been organised, present or engaged in a trade or business in such jurisdiction, or having or having had a permanent establishment or fixed place of business in such jurisdiction, but excluding a connection arising solely from such recipient or related person having executed, delivered, performed its obligations or received a payment under, or enforced, this Agreement or a Credit Support Document).</w:t>
      </w:r>
    </w:p>
    <w:p>
      <w:pPr>
        <w:pStyle w:val="TextBody"/>
        <w:bidi w:val="0"/>
        <w:spacing w:before="7" w:after="7"/>
        <w:ind w:left="7" w:right="7" w:hanging="0"/>
        <w:jc w:val="left"/>
        <w:rPr/>
      </w:pPr>
      <w:r>
        <w:rPr/>
        <w:t> </w:t>
      </w:r>
    </w:p>
    <w:p>
      <w:pPr>
        <w:pStyle w:val="TextBody"/>
        <w:bidi w:val="0"/>
        <w:ind w:left="278" w:right="188" w:hanging="0"/>
        <w:jc w:val="both"/>
        <w:rPr/>
      </w:pPr>
      <w:r>
        <w:rPr/>
        <w:t>“</w:t>
      </w:r>
      <w:r>
        <w:rPr>
          <w:b/>
          <w:i/>
          <w:sz w:val="20"/>
        </w:rPr>
        <w:t xml:space="preserve">law” </w:t>
      </w:r>
      <w:r>
        <w:rPr>
          <w:sz w:val="20"/>
        </w:rPr>
        <w:t>includes any treaty, law, rule or regulation (as modified, in the case of tax matters, by the practice of any relevant governmental revenue authority), and “</w:t>
      </w:r>
      <w:r>
        <w:rPr>
          <w:b/>
          <w:i/>
          <w:sz w:val="20"/>
        </w:rPr>
        <w:t xml:space="preserve">unlawful” </w:t>
      </w:r>
      <w:r>
        <w:rPr>
          <w:sz w:val="20"/>
        </w:rPr>
        <w:t>will be construed accordingly.</w:t>
      </w:r>
    </w:p>
    <w:p>
      <w:pPr>
        <w:pStyle w:val="TextBody"/>
        <w:bidi w:val="0"/>
        <w:spacing w:before="173" w:after="173"/>
        <w:ind w:left="278" w:right="194" w:hanging="0"/>
        <w:jc w:val="both"/>
        <w:rPr/>
      </w:pPr>
      <w:r>
        <w:rPr/>
        <w:t>“</w:t>
      </w:r>
      <w:r>
        <w:rPr>
          <w:b/>
          <w:i/>
          <w:sz w:val="20"/>
        </w:rPr>
        <w:t xml:space="preserve">Local Business Day” </w:t>
      </w:r>
      <w:r>
        <w:rPr>
          <w:sz w:val="20"/>
        </w:rPr>
        <w:t>means (a) in relation to any obligation under Section 2(a)(i), a General Business Day in the place or places specified in the relevant Confirmation and a day on which a relevant settlement system is open or operating as specified in the relevant Confirmation or, if a place or a settlement system is not so specified, as otherwise agreed by the parties in writing or determined pursuant to provisions contained, or incorporated by reference, in this Agreement, (b) for the purpose of determining when a Waiting Period expires, a General Business Day in the place where the event or circumstance that constitutes or gives rise to the Illegality or Force Majeure Event, as the case may be, occurs, (c) in relation to any other payment, a General Business Day in the place where the relevant account is located and, if different, in the principal financial centre, if any, of the currency of such payment and, if that currency does not have a single recognised principal financial centre, a day on which the settlement system necessary to accomplish such payment is open, (d) in relation to any notice or other communication, including notice contemplated under Section 5(a)(i), a General Business Day (or a day that would have been a General Business Day but for the occurrence of an event or circumstance which would, if it occurred with respect to payment, delivery or compliance related to a Transaction, constitute or give rise to an Illegality or a Force Majeure Event) in the place specified in the address for notice provided by the recipient and, in the case of a notice contemplated by Section 2(b), in the place where the relevant new account is to be located and (e) in relation to Section 5(a)(v)(2), a General Business Day in the relevant locations for performance with respect to such Specified Transaction.</w:t>
      </w:r>
    </w:p>
    <w:p>
      <w:pPr>
        <w:pStyle w:val="TextBody"/>
        <w:bidi w:val="0"/>
        <w:spacing w:before="193" w:after="193"/>
        <w:ind w:left="278" w:right="188" w:hanging="0"/>
        <w:jc w:val="both"/>
        <w:rPr/>
      </w:pPr>
      <w:r>
        <w:rPr/>
        <w:t>“</w:t>
      </w:r>
      <w:r>
        <w:rPr>
          <w:b/>
          <w:i/>
          <w:sz w:val="20"/>
        </w:rPr>
        <w:t xml:space="preserve">Local Delivery Day” </w:t>
      </w:r>
      <w:r>
        <w:rPr>
          <w:sz w:val="20"/>
        </w:rPr>
        <w:t>means, for purposes of Sections 5(a)(i) and 5(d), a day on which settlement systems necessary to accomplish the relevant delivery are generally open for business so that the delivery is capable of being accomplished in accordance with customary market practice, in the place specified in the relevant Confirmation or, if not so specified, in a location as determined in accordance with customary market practice for the relevant delivery.</w:t>
      </w:r>
    </w:p>
    <w:p>
      <w:pPr>
        <w:pStyle w:val="TextBody"/>
        <w:bidi w:val="0"/>
        <w:spacing w:before="175" w:after="175"/>
        <w:ind w:left="278" w:right="175" w:hanging="0"/>
        <w:jc w:val="left"/>
        <w:rPr/>
      </w:pPr>
      <w:r>
        <w:rPr/>
        <w:t>“</w:t>
      </w:r>
      <w:r>
        <w:rPr>
          <w:b/>
          <w:i/>
          <w:sz w:val="20"/>
        </w:rPr>
        <w:t xml:space="preserve">Master Agreement” </w:t>
      </w:r>
      <w:r>
        <w:rPr>
          <w:sz w:val="20"/>
        </w:rPr>
        <w:t>has the meaning specified in the preamble.</w:t>
      </w:r>
    </w:p>
    <w:p>
      <w:pPr>
        <w:pStyle w:val="TextBody"/>
        <w:bidi w:val="0"/>
        <w:spacing w:before="132" w:after="132"/>
        <w:ind w:left="278" w:right="2473" w:hanging="0"/>
        <w:jc w:val="left"/>
        <w:rPr/>
      </w:pPr>
      <w:r>
        <w:rPr/>
        <w:t>“</w:t>
      </w:r>
      <w:r>
        <w:rPr>
          <w:b/>
          <w:i/>
          <w:sz w:val="20"/>
        </w:rPr>
        <w:t xml:space="preserve">Merger Without Assumption” </w:t>
      </w:r>
      <w:r>
        <w:rPr>
          <w:sz w:val="20"/>
        </w:rPr>
        <w:t xml:space="preserve">means the event specified in Section 5(a)(viii). </w:t>
      </w:r>
    </w:p>
    <w:p>
      <w:pPr>
        <w:pStyle w:val="TextBody"/>
        <w:bidi w:val="0"/>
        <w:spacing w:before="132" w:after="132"/>
        <w:ind w:left="278" w:right="2473" w:hanging="0"/>
        <w:jc w:val="left"/>
        <w:rPr/>
      </w:pPr>
      <w:r>
        <w:rPr/>
        <w:t>“</w:t>
      </w:r>
      <w:r>
        <w:rPr>
          <w:b/>
          <w:i/>
          <w:sz w:val="20"/>
        </w:rPr>
        <w:t xml:space="preserve">Multiple Transaction Payment Netting” </w:t>
      </w:r>
      <w:r>
        <w:rPr>
          <w:sz w:val="20"/>
        </w:rPr>
        <w:t>has the meaning specified in Section 2(c).</w:t>
      </w:r>
    </w:p>
    <w:p>
      <w:pPr>
        <w:pStyle w:val="TextBody"/>
        <w:bidi w:val="0"/>
        <w:spacing w:before="132" w:after="132"/>
        <w:ind w:left="278" w:right="2473" w:hanging="0"/>
        <w:jc w:val="left"/>
        <w:rPr/>
      </w:pPr>
      <w:r>
        <w:rPr/>
        <w:t>“</w:t>
      </w:r>
      <w:r>
        <w:rPr>
          <w:b/>
          <w:i/>
          <w:sz w:val="20"/>
        </w:rPr>
        <w:t xml:space="preserve">Non-affected Party” </w:t>
      </w:r>
      <w:r>
        <w:rPr>
          <w:sz w:val="20"/>
        </w:rPr>
        <w:t>means, so long as there is only one Affected Party, the other party.</w:t>
      </w:r>
    </w:p>
    <w:p>
      <w:pPr>
        <w:pStyle w:val="TextBody"/>
        <w:bidi w:val="0"/>
        <w:spacing w:before="16" w:after="16"/>
        <w:ind w:left="278" w:right="191" w:hanging="0"/>
        <w:jc w:val="both"/>
        <w:rPr/>
      </w:pPr>
      <w:r>
        <w:rPr/>
        <w:t>“</w:t>
      </w:r>
      <w:r>
        <w:rPr>
          <w:b/>
          <w:i/>
          <w:sz w:val="20"/>
        </w:rPr>
        <w:t xml:space="preserve">Non-default Rate” </w:t>
      </w:r>
      <w:r>
        <w:rPr>
          <w:sz w:val="20"/>
        </w:rPr>
        <w:t>means the rate certified by the Non-defaulting Party to be a rate offered to the Non-defaulting Party by a major bank in a relevant interbank market for overnight deposits in the applicable currency, such bank to be selected in good faith by the Non-defaulting Party for the purpose of obtaining a representative rate that will reasonably reflect conditions prevailing at the time in that relevant market.</w:t>
      </w:r>
    </w:p>
    <w:p>
      <w:pPr>
        <w:pStyle w:val="TextBody"/>
        <w:bidi w:val="0"/>
        <w:spacing w:before="175" w:after="175"/>
        <w:ind w:left="278" w:right="175" w:hanging="0"/>
        <w:jc w:val="left"/>
        <w:rPr/>
      </w:pPr>
      <w:r>
        <w:rPr/>
        <w:t>“</w:t>
      </w:r>
      <w:r>
        <w:rPr>
          <w:b/>
          <w:i/>
          <w:sz w:val="20"/>
        </w:rPr>
        <w:t xml:space="preserve">Non-defaulting Party” </w:t>
      </w:r>
      <w:r>
        <w:rPr>
          <w:sz w:val="20"/>
        </w:rPr>
        <w:t>has the meaning specified in Section 6(a).</w:t>
      </w:r>
    </w:p>
    <w:p>
      <w:pPr>
        <w:pStyle w:val="TextBody"/>
        <w:bidi w:val="0"/>
        <w:spacing w:before="132" w:after="132"/>
        <w:ind w:left="278" w:right="132" w:hanging="0"/>
        <w:jc w:val="left"/>
        <w:rPr/>
      </w:pPr>
      <w:r>
        <w:rPr/>
        <w:t>“</w:t>
      </w:r>
      <w:r>
        <w:rPr>
          <w:b/>
          <w:i/>
          <w:sz w:val="20"/>
        </w:rPr>
        <w:t xml:space="preserve">Office” </w:t>
      </w:r>
      <w:r>
        <w:rPr>
          <w:sz w:val="20"/>
        </w:rPr>
        <w:t>means a branch or office of a party, which may be such party’s head or home office.</w:t>
      </w:r>
    </w:p>
    <w:p>
      <w:pPr>
        <w:pStyle w:val="TextBody"/>
        <w:bidi w:val="0"/>
        <w:spacing w:before="133" w:after="133"/>
        <w:ind w:left="278" w:right="133" w:hanging="0"/>
        <w:jc w:val="left"/>
        <w:rPr/>
      </w:pPr>
      <w:r>
        <w:rPr/>
        <w:t>“</w:t>
      </w:r>
      <w:r>
        <w:rPr>
          <w:b/>
          <w:i/>
          <w:sz w:val="20"/>
        </w:rPr>
        <w:t xml:space="preserve">Other Amounts” </w:t>
      </w:r>
      <w:r>
        <w:rPr>
          <w:sz w:val="20"/>
        </w:rPr>
        <w:t>has the meaning specified in Section 6(f).</w:t>
      </w:r>
    </w:p>
    <w:p>
      <w:pPr>
        <w:pStyle w:val="TextBody"/>
        <w:bidi w:val="0"/>
        <w:spacing w:before="133" w:after="133"/>
        <w:ind w:left="278" w:right="133"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146" w:after="146"/>
        <w:ind w:left="278" w:right="146" w:hanging="0"/>
        <w:jc w:val="left"/>
        <w:rPr/>
      </w:pPr>
      <w:r>
        <w:rPr/>
        <w:t>“</w:t>
      </w:r>
      <w:r>
        <w:rPr>
          <w:b/>
          <w:i/>
          <w:sz w:val="20"/>
        </w:rPr>
        <w:t xml:space="preserve">Payee” </w:t>
      </w:r>
      <w:r>
        <w:rPr>
          <w:sz w:val="20"/>
        </w:rPr>
        <w:t>has the meaning specified in Section 6(f).</w:t>
      </w:r>
    </w:p>
    <w:p>
      <w:pPr>
        <w:pStyle w:val="TextBody"/>
        <w:bidi w:val="0"/>
        <w:spacing w:before="130" w:after="130"/>
        <w:ind w:left="278" w:right="130" w:hanging="0"/>
        <w:jc w:val="left"/>
        <w:rPr/>
      </w:pPr>
      <w:r>
        <w:rPr/>
        <w:t>“</w:t>
      </w:r>
      <w:r>
        <w:rPr>
          <w:b/>
          <w:i/>
          <w:sz w:val="20"/>
        </w:rPr>
        <w:t xml:space="preserve">Payer” </w:t>
      </w:r>
      <w:r>
        <w:rPr>
          <w:sz w:val="20"/>
        </w:rPr>
        <w:t>has the meaning specified in Section 6(f).</w:t>
      </w:r>
    </w:p>
    <w:p>
      <w:pPr>
        <w:pStyle w:val="TextBody"/>
        <w:bidi w:val="0"/>
        <w:spacing w:before="164" w:after="164"/>
        <w:ind w:left="278" w:right="164" w:hanging="0"/>
        <w:jc w:val="left"/>
        <w:rPr/>
      </w:pPr>
      <w:r>
        <w:rPr/>
        <w:t>“</w:t>
      </w:r>
      <w:r>
        <w:rPr>
          <w:b/>
          <w:i/>
          <w:sz w:val="20"/>
        </w:rPr>
        <w:t xml:space="preserve">Potential Event of Default” </w:t>
      </w:r>
      <w:r>
        <w:rPr>
          <w:sz w:val="20"/>
        </w:rPr>
        <w:t>means any event which, with the giving of notice or the lapse of time or both, would constitute an Event of Default.</w:t>
      </w:r>
    </w:p>
    <w:p>
      <w:pPr>
        <w:pStyle w:val="TextBody"/>
        <w:bidi w:val="0"/>
        <w:spacing w:before="179" w:after="179"/>
        <w:ind w:left="278" w:right="179" w:hanging="0"/>
        <w:jc w:val="left"/>
        <w:rPr/>
      </w:pPr>
      <w:r>
        <w:rPr/>
        <w:t>“</w:t>
      </w:r>
      <w:r>
        <w:rPr>
          <w:b/>
          <w:i/>
          <w:sz w:val="20"/>
        </w:rPr>
        <w:t xml:space="preserve">Proceedings” </w:t>
      </w:r>
      <w:r>
        <w:rPr>
          <w:sz w:val="20"/>
        </w:rPr>
        <w:t>has the meaning specified in Section 13(b).</w:t>
      </w:r>
    </w:p>
    <w:p>
      <w:pPr>
        <w:pStyle w:val="TextBody"/>
        <w:bidi w:val="0"/>
        <w:spacing w:before="132" w:after="132"/>
        <w:ind w:left="278" w:right="132" w:hanging="0"/>
        <w:jc w:val="left"/>
        <w:rPr/>
      </w:pPr>
      <w:r>
        <w:rPr/>
        <w:t>“</w:t>
      </w:r>
      <w:r>
        <w:rPr>
          <w:b/>
          <w:i/>
          <w:sz w:val="20"/>
        </w:rPr>
        <w:t xml:space="preserve">Process Agent” </w:t>
      </w:r>
      <w:r>
        <w:rPr>
          <w:sz w:val="20"/>
        </w:rPr>
        <w:t>has the meaning specified in the Schedule.</w:t>
      </w:r>
    </w:p>
    <w:p>
      <w:pPr>
        <w:pStyle w:val="TextBody"/>
        <w:bidi w:val="0"/>
        <w:spacing w:before="166" w:after="166"/>
        <w:ind w:left="278" w:right="166" w:hanging="0"/>
        <w:jc w:val="left"/>
        <w:rPr/>
      </w:pPr>
      <w:r>
        <w:rPr/>
        <w:t>“</w:t>
      </w:r>
      <w:r>
        <w:rPr>
          <w:b/>
          <w:i/>
          <w:sz w:val="20"/>
        </w:rPr>
        <w:t xml:space="preserve">rate of exchange” </w:t>
      </w:r>
      <w:r>
        <w:rPr>
          <w:sz w:val="20"/>
        </w:rPr>
        <w:t>includes, without limitation, any premiums and costs of exchange payable in connection with the purchase of or conversion into the Contractual Currency.</w:t>
      </w:r>
    </w:p>
    <w:p>
      <w:pPr>
        <w:pStyle w:val="TextBody"/>
        <w:bidi w:val="0"/>
        <w:spacing w:before="192" w:after="192"/>
        <w:ind w:left="278" w:right="192" w:hanging="0"/>
        <w:jc w:val="both"/>
        <w:rPr/>
      </w:pPr>
      <w:r>
        <w:rPr/>
        <w:t>“</w:t>
      </w:r>
      <w:r>
        <w:rPr>
          <w:b/>
          <w:i/>
          <w:sz w:val="20"/>
        </w:rPr>
        <w:t xml:space="preserve">Relevant Jurisdiction” </w:t>
      </w:r>
      <w:r>
        <w:rPr>
          <w:sz w:val="20"/>
        </w:rPr>
        <w:t>means, with respect to a party, the jurisdictions (a) in which the party is incorporated, organised, managed and controlled or considered to have its seat, (b) where an Office through which the party is acting for purposes of this Agreement is located, (c) in which the party executes this Agreement and (d) in relation to any payment, from or through which such payment is made.</w:t>
      </w:r>
    </w:p>
    <w:p>
      <w:pPr>
        <w:pStyle w:val="TextBody"/>
        <w:bidi w:val="0"/>
        <w:spacing w:before="175" w:after="175"/>
        <w:ind w:left="278" w:right="175" w:hanging="0"/>
        <w:jc w:val="both"/>
        <w:rPr/>
      </w:pPr>
      <w:r>
        <w:rPr/>
        <w:t>“</w:t>
      </w:r>
      <w:r>
        <w:rPr>
          <w:b/>
          <w:i/>
          <w:sz w:val="20"/>
        </w:rPr>
        <w:t xml:space="preserve">Schedule” </w:t>
      </w:r>
      <w:r>
        <w:rPr>
          <w:sz w:val="20"/>
        </w:rPr>
        <w:t>has the meaning specified in the preamble.</w:t>
      </w:r>
    </w:p>
    <w:p>
      <w:pPr>
        <w:pStyle w:val="TextBody"/>
        <w:bidi w:val="0"/>
        <w:spacing w:before="166" w:after="166"/>
        <w:ind w:left="278" w:right="191" w:hanging="0"/>
        <w:jc w:val="both"/>
        <w:rPr/>
      </w:pPr>
      <w:r>
        <w:rPr/>
        <w:t>“</w:t>
      </w:r>
      <w:r>
        <w:rPr>
          <w:b/>
          <w:i/>
          <w:sz w:val="20"/>
        </w:rPr>
        <w:t xml:space="preserve">Scheduled Settlement Date” </w:t>
      </w:r>
      <w:r>
        <w:rPr>
          <w:sz w:val="20"/>
        </w:rPr>
        <w:t>means a date on which a payment or delivery is to be made under Section 2(a)(i) with respect to a Transaction.</w:t>
      </w:r>
    </w:p>
    <w:p>
      <w:pPr>
        <w:pStyle w:val="TextBody"/>
        <w:bidi w:val="0"/>
        <w:spacing w:before="178" w:after="178"/>
        <w:ind w:left="278" w:right="178" w:hanging="0"/>
        <w:jc w:val="left"/>
        <w:rPr/>
      </w:pPr>
      <w:r>
        <w:rPr/>
        <w:t>“</w:t>
      </w:r>
      <w:r>
        <w:rPr>
          <w:b/>
          <w:i/>
          <w:sz w:val="20"/>
        </w:rPr>
        <w:t xml:space="preserve">Specified Entity” </w:t>
      </w:r>
      <w:r>
        <w:rPr>
          <w:sz w:val="20"/>
        </w:rPr>
        <w:t>has the meaning specified in the Schedule.</w:t>
      </w:r>
    </w:p>
    <w:p>
      <w:pPr>
        <w:pStyle w:val="TextBody"/>
        <w:bidi w:val="0"/>
        <w:spacing w:before="166" w:after="166"/>
        <w:ind w:left="278" w:right="194" w:hanging="0"/>
        <w:jc w:val="both"/>
        <w:rPr/>
      </w:pPr>
      <w:r>
        <w:rPr/>
        <w:t>“</w:t>
      </w:r>
      <w:r>
        <w:rPr>
          <w:b/>
          <w:i/>
          <w:sz w:val="20"/>
        </w:rPr>
        <w:t xml:space="preserve">Specified Indebtedness” </w:t>
      </w:r>
      <w:r>
        <w:rPr>
          <w:sz w:val="20"/>
        </w:rPr>
        <w:t>means, subject to the Schedule, any obligation (whether present or future, contingent or otherwise, as principal or surety or otherwise) in respect of borrowed money.</w:t>
      </w:r>
    </w:p>
    <w:p>
      <w:pPr>
        <w:pStyle w:val="TextBody"/>
        <w:bidi w:val="0"/>
        <w:spacing w:before="194" w:after="194"/>
        <w:ind w:left="278" w:right="192" w:hanging="0"/>
        <w:jc w:val="both"/>
        <w:rPr/>
      </w:pPr>
      <w:r>
        <w:rPr/>
        <w:t>“</w:t>
      </w:r>
      <w:r>
        <w:rPr>
          <w:b/>
          <w:i/>
          <w:sz w:val="20"/>
        </w:rPr>
        <w:t xml:space="preserve">Specified Transaction” </w:t>
      </w:r>
      <w:r>
        <w:rPr>
          <w:sz w:val="20"/>
        </w:rPr>
        <w:t>means, subject to the Schedule, (a) any transaction (including an agreement with respect to any such transaction) now existing or hereafter entered into between one party to this Agreement (or any Credit Support Provider of such party or any applicable Specified Entity of such party) and the other party to this Agreement (or any Credit Support Provider of such other party or any applicable Specified Entity of such other party) which is not a Transaction under this Agreement but (i) which is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(ii) which is a type of transaction that is similar to any transaction referred to in clause (i)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 (b) any combination of these transactions and (c) any other transaction identified as a Specified Transaction in this Agreement or the relevant confirmation.</w:t>
      </w:r>
    </w:p>
    <w:p>
      <w:pPr>
        <w:pStyle w:val="TextBody"/>
        <w:bidi w:val="0"/>
        <w:spacing w:before="174" w:after="174"/>
        <w:ind w:left="278" w:right="174" w:hanging="0"/>
        <w:jc w:val="left"/>
        <w:rPr/>
      </w:pPr>
      <w:r>
        <w:rPr/>
        <w:t>“</w:t>
      </w:r>
      <w:r>
        <w:rPr>
          <w:b/>
          <w:i/>
          <w:sz w:val="20"/>
        </w:rPr>
        <w:t xml:space="preserve">Stamp Tax” </w:t>
      </w:r>
      <w:r>
        <w:rPr>
          <w:sz w:val="20"/>
        </w:rPr>
        <w:t>means any stamp, registration, documentation or similar tax.</w:t>
      </w:r>
    </w:p>
    <w:p>
      <w:pPr>
        <w:pStyle w:val="TextBody"/>
        <w:bidi w:val="0"/>
        <w:spacing w:before="133" w:after="133"/>
        <w:ind w:left="278" w:right="133" w:hanging="0"/>
        <w:jc w:val="left"/>
        <w:rPr/>
      </w:pPr>
      <w:r>
        <w:rPr/>
        <w:t>“</w:t>
      </w:r>
      <w:r>
        <w:rPr>
          <w:b/>
          <w:i/>
          <w:sz w:val="20"/>
        </w:rPr>
        <w:t xml:space="preserve">Stamp Tax Jurisdiction” </w:t>
      </w:r>
      <w:r>
        <w:rPr>
          <w:sz w:val="20"/>
        </w:rPr>
        <w:t>has the meaning specified in Section 4(e).</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164" w:after="164"/>
        <w:ind w:left="278" w:right="189" w:hanging="0"/>
        <w:jc w:val="both"/>
        <w:rPr/>
      </w:pPr>
      <w:r>
        <w:rPr/>
        <w:t>“</w:t>
      </w:r>
      <w:r>
        <w:rPr>
          <w:b/>
          <w:i/>
          <w:sz w:val="20"/>
        </w:rPr>
        <w:t xml:space="preserve">Tax” </w:t>
      </w:r>
      <w:r>
        <w:rPr>
          <w:sz w:val="20"/>
        </w:rPr>
        <w:t>means any present or future tax, levy, impost, duty, charge, assessment or fee of any nature (including interest, penalties and additions thereto) that is imposed by any government or other taxing authority in respect of any payment under this Agreement other than a stamp, registration, documentation or similar tax.</w:t>
      </w:r>
    </w:p>
    <w:p>
      <w:pPr>
        <w:pStyle w:val="TextBody"/>
        <w:bidi w:val="0"/>
        <w:spacing w:before="176" w:after="176"/>
        <w:ind w:left="278" w:right="176" w:hanging="0"/>
        <w:jc w:val="both"/>
        <w:rPr/>
      </w:pPr>
      <w:r>
        <w:rPr/>
        <w:t>“</w:t>
      </w:r>
      <w:r>
        <w:rPr>
          <w:b/>
          <w:i/>
          <w:sz w:val="20"/>
        </w:rPr>
        <w:t xml:space="preserve">Tax Event” </w:t>
      </w:r>
      <w:r>
        <w:rPr>
          <w:sz w:val="20"/>
        </w:rPr>
        <w:t>has the meaning specified in Section 5(b).</w:t>
      </w:r>
    </w:p>
    <w:p>
      <w:pPr>
        <w:pStyle w:val="TextBody"/>
        <w:bidi w:val="0"/>
        <w:spacing w:before="132" w:after="132"/>
        <w:ind w:left="278" w:right="132" w:hanging="0"/>
        <w:jc w:val="both"/>
        <w:rPr/>
      </w:pPr>
      <w:r>
        <w:rPr/>
        <w:t>“</w:t>
      </w:r>
      <w:r>
        <w:rPr>
          <w:b/>
          <w:i/>
          <w:sz w:val="20"/>
        </w:rPr>
        <w:t xml:space="preserve">Tax Event Upon Merger” </w:t>
      </w:r>
      <w:r>
        <w:rPr>
          <w:sz w:val="20"/>
        </w:rPr>
        <w:t>has the meaning specified in Section 5(b).</w:t>
      </w:r>
    </w:p>
    <w:p>
      <w:pPr>
        <w:pStyle w:val="TextBody"/>
        <w:bidi w:val="0"/>
        <w:spacing w:before="148" w:after="148"/>
        <w:ind w:left="278" w:right="193" w:hanging="0"/>
        <w:jc w:val="both"/>
        <w:rPr/>
      </w:pPr>
      <w:r>
        <w:rPr/>
        <w:t>“</w:t>
      </w:r>
      <w:r>
        <w:rPr>
          <w:b/>
          <w:i/>
          <w:sz w:val="20"/>
        </w:rPr>
        <w:t xml:space="preserve">Terminated Transactions” </w:t>
      </w:r>
      <w:r>
        <w:rPr>
          <w:sz w:val="20"/>
        </w:rPr>
        <w:t>means, with respect to any Early Termination Date, (a) if resulting from an Illegality or a Force Majeure Event, all Affected Transactions specified in the notice given pursuant to Section 6(b)(iv), (b) if resulting from any other Termination Event, all Affected Transactions and (c) if resulting from an Event of Default, all Transactions in effect either immediately before the effectiveness of the notice designating that Early Termination Date or, if Automatic Early Termination applies, immediately before that Early Termination Date.</w:t>
      </w:r>
    </w:p>
    <w:p>
      <w:pPr>
        <w:pStyle w:val="TextBody"/>
        <w:bidi w:val="0"/>
        <w:spacing w:before="186" w:after="186"/>
        <w:ind w:left="278" w:right="189" w:hanging="0"/>
        <w:jc w:val="both"/>
        <w:rPr/>
      </w:pPr>
      <w:r>
        <w:rPr/>
        <w:t>“</w:t>
      </w:r>
      <w:r>
        <w:rPr>
          <w:b/>
          <w:i/>
          <w:sz w:val="20"/>
        </w:rPr>
        <w:t xml:space="preserve">Termination Currency” </w:t>
      </w:r>
      <w:r>
        <w:rPr>
          <w:sz w:val="20"/>
        </w:rPr>
        <w:t>means (a) if a Termination Currency is specified in the Schedule and that currency is freely available, that currency, and (b) otherwise, euro if this Agreement is expressed to be governed by English law or United States Dollars if this Agreement is expressed to be governed by the laws of the State of New York.</w:t>
      </w:r>
    </w:p>
    <w:p>
      <w:pPr>
        <w:pStyle w:val="TextBody"/>
        <w:bidi w:val="0"/>
        <w:spacing w:before="191" w:after="191"/>
        <w:ind w:left="278" w:right="190" w:hanging="0"/>
        <w:jc w:val="both"/>
        <w:rPr/>
      </w:pPr>
      <w:r>
        <w:rPr/>
        <w:t>“</w:t>
      </w:r>
      <w:r>
        <w:rPr>
          <w:b/>
          <w:i/>
          <w:sz w:val="20"/>
        </w:rPr>
        <w:t xml:space="preserve">Termination Currency Equivalent” </w:t>
      </w:r>
      <w:r>
        <w:rPr>
          <w:sz w:val="20"/>
        </w:rPr>
        <w:t>means, in respect of any amount denominated in the Termination Currency, such Termination Currency amount and, in respect of any amount denominated in a currency other than the Termination Currency (the “Other Currency”), the amount in the Termination Currency determined by the party making the relevant determination as being required to purchase such amount of such Other Currency as at the relevant Early Termination Date, or, if the relevant Close-out Amount is determined as of a later date, that later date, with the Termination Currency at the rate equal to the spot exchange rate of the foreign exchange agent (selected as provided below) for the purchase of such Other Currency with the Termination Currency at or about 11:00 a.m. (in the city in which such foreign exchange agent is located) on such date as would be customary for the determination of such a rate for the purchase of such Other Currency for value on the relevant Early Termination Date or that later date. The foreign exchange agent will, if only one party is obliged to make a determination under Section 6(e), be selected in good faith by that party and otherwise will be agreed by the parties.</w:t>
      </w:r>
    </w:p>
    <w:p>
      <w:pPr>
        <w:pStyle w:val="TextBody"/>
        <w:bidi w:val="0"/>
        <w:spacing w:before="0" w:after="283"/>
        <w:jc w:val="left"/>
        <w:rPr/>
      </w:pPr>
      <w:r>
        <w:rPr/>
        <w:t> </w:t>
      </w:r>
    </w:p>
    <w:p>
      <w:pPr>
        <w:pStyle w:val="TextBody"/>
        <w:bidi w:val="0"/>
        <w:ind w:left="278" w:right="191" w:hanging="0"/>
        <w:jc w:val="both"/>
        <w:rPr/>
      </w:pPr>
      <w:r>
        <w:rPr/>
        <w:t>“</w:t>
      </w:r>
      <w:r>
        <w:rPr>
          <w:b/>
          <w:i/>
          <w:sz w:val="20"/>
        </w:rPr>
        <w:t xml:space="preserve">Termination Event” </w:t>
      </w:r>
      <w:r>
        <w:rPr>
          <w:sz w:val="20"/>
        </w:rPr>
        <w:t>means an Illegality, a Force Majeure Event, a Tax Event, a Tax Event Upon Merger or, if specified to be applicable, a Credit Event Upon Merger or an Additional Termination Event.</w:t>
      </w:r>
    </w:p>
    <w:p>
      <w:pPr>
        <w:pStyle w:val="TextBody"/>
        <w:bidi w:val="0"/>
        <w:spacing w:before="5" w:after="5"/>
        <w:ind w:left="5" w:right="5" w:hanging="0"/>
        <w:jc w:val="left"/>
        <w:rPr/>
      </w:pPr>
      <w:r>
        <w:rPr/>
        <w:t> </w:t>
      </w:r>
    </w:p>
    <w:p>
      <w:pPr>
        <w:pStyle w:val="TextBody"/>
        <w:bidi w:val="0"/>
        <w:spacing w:before="1" w:after="1"/>
        <w:ind w:left="278" w:right="192" w:hanging="0"/>
        <w:jc w:val="both"/>
        <w:rPr/>
      </w:pPr>
      <w:r>
        <w:rPr/>
        <w:t>“</w:t>
      </w:r>
      <w:r>
        <w:rPr>
          <w:b/>
          <w:i/>
          <w:sz w:val="20"/>
        </w:rPr>
        <w:t xml:space="preserve">Termination Rate” </w:t>
      </w:r>
      <w:r>
        <w:rPr>
          <w:sz w:val="20"/>
        </w:rPr>
        <w:t>means a rate per annum equal to the arithmetic mean of the cost (without proof or evidence of any actual cost) to each party (as certified by such party) if it were to fund or of funding such amounts.</w:t>
      </w:r>
    </w:p>
    <w:p>
      <w:pPr>
        <w:pStyle w:val="TextBody"/>
        <w:bidi w:val="0"/>
        <w:spacing w:before="178" w:after="178"/>
        <w:ind w:left="278" w:right="178" w:hanging="0"/>
        <w:jc w:val="both"/>
        <w:rPr/>
      </w:pPr>
      <w:r>
        <w:rPr/>
        <w:t>“</w:t>
      </w:r>
      <w:r>
        <w:rPr>
          <w:b/>
          <w:i/>
          <w:sz w:val="20"/>
        </w:rPr>
        <w:t xml:space="preserve">Threshold Amount” </w:t>
      </w:r>
      <w:r>
        <w:rPr>
          <w:sz w:val="20"/>
        </w:rPr>
        <w:t>means the amount, if any, specified as such in the Schedule.</w:t>
      </w:r>
    </w:p>
    <w:p>
      <w:pPr>
        <w:pStyle w:val="TextBody"/>
        <w:bidi w:val="0"/>
        <w:spacing w:before="133" w:after="133"/>
        <w:ind w:left="278" w:right="133" w:hanging="0"/>
        <w:jc w:val="both"/>
        <w:rPr/>
      </w:pPr>
      <w:r>
        <w:rPr/>
        <w:t>“</w:t>
      </w:r>
      <w:r>
        <w:rPr>
          <w:b/>
          <w:i/>
          <w:sz w:val="20"/>
        </w:rPr>
        <w:t xml:space="preserve">Transaction” </w:t>
      </w:r>
      <w:r>
        <w:rPr>
          <w:sz w:val="20"/>
        </w:rPr>
        <w:t>has the meaning specified in the preamble.</w:t>
      </w:r>
    </w:p>
    <w:p>
      <w:pPr>
        <w:pStyle w:val="TextBody"/>
        <w:bidi w:val="0"/>
        <w:spacing w:before="148" w:after="148"/>
        <w:ind w:left="278" w:right="191" w:hanging="0"/>
        <w:jc w:val="both"/>
        <w:rPr/>
      </w:pPr>
      <w:r>
        <w:rPr/>
        <w:t>“</w:t>
      </w:r>
      <w:r>
        <w:rPr>
          <w:b/>
          <w:i/>
          <w:sz w:val="20"/>
        </w:rPr>
        <w:t xml:space="preserve">Unpaid Amounts” </w:t>
      </w:r>
      <w:r>
        <w:rPr>
          <w:sz w:val="20"/>
        </w:rPr>
        <w:t>owing to any party means, with respect to an Early Termination Date, the aggregate of (a) in respect of all Terminated Transactions, the amounts that became payable (or that would have become payable but for Section 2(a)(iii) or due but for Section 5(d)) to such party under Section 2(a)(i) or 2(d)(i)(4) on or prior to such Early Termination Date and which remain unpaid as at such Early Termination Date, (b) in respect of each Terminated Transaction, for each obligation under Section 2(a)(i) which was (or would have been but for Section 2(a)(iii) or 5(d)) required to be settled by delivery to such party on or prior to such Early Termination Date and which has not been so settled as at such Early Termination Date, an amount equal to the fair market value of that which was (or would have been) required to be delivered and (c) if the Early Termination Date results from an Event of Default, a Credit Event Upon Merger or an Additional Termination Event in respect of which all outstanding Transactions are Affected Transactions, any Early Termination Amount due prior to such Early Termination Date and which remains unpaid as of such Early Termination Date, in each case together with any amount of interest accrued or other compensation in respect of that obligation or deferred obligation, as the case may be, pursuant to Section 9(h)(ii)(1) or (2), as appropriate. The fair market value of any obligation referred to in clause (b) above will be determined as of the originally scheduled date for delivery, in good faith and using commercially reasonable procedures, by the party obliged to make the determination under Section 6(e) or, if each party is so obliged, it will be the average of the Termination Currency Equivalents of the fair market values so determined by both parties.</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197" w:after="197"/>
        <w:ind w:left="328" w:right="197" w:hanging="0"/>
        <w:jc w:val="both"/>
        <w:rPr/>
      </w:pPr>
      <w:r>
        <w:rPr/>
        <w:t>“</w:t>
      </w:r>
      <w:r>
        <w:rPr>
          <w:b/>
          <w:i/>
          <w:sz w:val="20"/>
        </w:rPr>
        <w:t xml:space="preserve">Waiting Period” </w:t>
      </w:r>
      <w:r>
        <w:rPr>
          <w:sz w:val="20"/>
        </w:rPr>
        <w:t>means:</w:t>
      </w:r>
    </w:p>
    <w:p>
      <w:pPr>
        <w:pStyle w:val="TextBody"/>
        <w:bidi w:val="0"/>
        <w:spacing w:before="2" w:after="2"/>
        <w:ind w:left="2" w:right="2" w:hanging="0"/>
        <w:jc w:val="left"/>
        <w:rPr/>
      </w:pPr>
      <w:r>
        <w:rPr/>
        <w:t> </w:t>
      </w:r>
    </w:p>
    <w:p>
      <w:pPr>
        <w:pStyle w:val="TextBody"/>
        <w:bidi w:val="0"/>
        <w:spacing w:before="1" w:after="1"/>
        <w:ind w:left="278" w:right="193" w:hanging="0"/>
        <w:jc w:val="both"/>
        <w:rPr>
          <w:sz w:val="20"/>
        </w:rPr>
      </w:pPr>
      <w:r>
        <w:rPr>
          <w:sz w:val="20"/>
        </w:rPr>
        <w:t>(a)             in respect of an event or circumstance under Section 5(b)(i), other than in the case of Section 5(b)(i)(2) where the relevant payment, delivery or compliance is actually required on the relevant day (in which case no Waiting Period will apply), a period of three Local Business Days (or days that would have been Local Business Days but for the occurrence of that event or circumstance) following the occurrence of that event or circumstance; and</w:t>
      </w:r>
    </w:p>
    <w:p>
      <w:pPr>
        <w:pStyle w:val="TextBody"/>
        <w:bidi w:val="0"/>
        <w:spacing w:before="8" w:after="8"/>
        <w:ind w:left="8" w:right="8" w:hanging="0"/>
        <w:jc w:val="left"/>
        <w:rPr/>
      </w:pPr>
      <w:r>
        <w:rPr/>
        <w:t> </w:t>
      </w:r>
    </w:p>
    <w:p>
      <w:pPr>
        <w:pStyle w:val="TextBody"/>
        <w:bidi w:val="0"/>
        <w:ind w:left="278" w:right="194" w:hanging="0"/>
        <w:jc w:val="both"/>
        <w:rPr>
          <w:sz w:val="20"/>
        </w:rPr>
      </w:pPr>
      <w:r>
        <w:rPr>
          <w:sz w:val="20"/>
        </w:rPr>
        <w:t>(b)            in respect of an event or circumstance under Section 5(b)(ii), other than in the case of Section 5(b)(ii)(2) where the relevant payment, delivery or compliance is actually required on the relevant day (in which case no Waiting Period will apply), a period of eight Local Business Days (or days that would have been Local Business Days but for the occurrence of that event or circumstance) following the occurrence of that event or circumstance.</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 w:after="6"/>
        <w:ind w:left="6" w:right="6" w:hanging="0"/>
        <w:jc w:val="left"/>
        <w:rPr/>
      </w:pPr>
      <w:r>
        <w:rPr/>
        <w:t> </w:t>
      </w:r>
    </w:p>
    <w:p>
      <w:pPr>
        <w:pStyle w:val="TextBody"/>
        <w:bidi w:val="0"/>
        <w:ind w:left="278" w:right="192" w:hanging="0"/>
        <w:jc w:val="both"/>
        <w:rPr>
          <w:sz w:val="20"/>
        </w:rPr>
      </w:pPr>
      <w:r>
        <w:rPr>
          <w:sz w:val="20"/>
        </w:rPr>
        <w:t>IN WITNESS WHEREOF the parties have executed this document on the respective dates specified below with effect from the date specified on the first page of this document.</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10990" w:type="dxa"/>
        <w:jc w:val="left"/>
        <w:tblInd w:w="0" w:type="dxa"/>
        <w:tblLayout w:type="fixed"/>
        <w:tblCellMar>
          <w:top w:w="0" w:type="dxa"/>
          <w:left w:w="0" w:type="dxa"/>
          <w:bottom w:w="0" w:type="dxa"/>
          <w:right w:w="0" w:type="dxa"/>
        </w:tblCellMar>
      </w:tblPr>
      <w:tblGrid>
        <w:gridCol w:w="5435"/>
        <w:gridCol w:w="60"/>
        <w:gridCol w:w="5495"/>
      </w:tblGrid>
      <w:tr>
        <w:trPr/>
        <w:tc>
          <w:tcPr>
            <w:tcW w:w="5435" w:type="dxa"/>
            <w:tcBorders/>
            <w:vAlign w:val="center"/>
          </w:tcPr>
          <w:p>
            <w:pPr>
              <w:pStyle w:val="TableContents"/>
              <w:bidi w:val="0"/>
              <w:spacing w:before="0" w:after="283"/>
              <w:jc w:val="left"/>
              <w:rPr/>
            </w:pPr>
            <w:r>
              <w:rPr/>
              <w:t>BLOCKCHAIN.COM (BVI) II LIMITED</w:t>
            </w:r>
          </w:p>
        </w:tc>
        <w:tc>
          <w:tcPr>
            <w:tcW w:w="6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283"/>
              <w:jc w:val="left"/>
              <w:rPr/>
            </w:pPr>
            <w:r>
              <w:rPr/>
              <w:t>SONO GROUP N.V.</w:t>
            </w:r>
          </w:p>
        </w:tc>
      </w:tr>
      <w:tr>
        <w:trPr/>
        <w:tc>
          <w:tcPr>
            <w:tcW w:w="543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5495" w:type="dxa"/>
            <w:tcBorders/>
            <w:vAlign w:val="center"/>
          </w:tcPr>
          <w:p>
            <w:pPr>
              <w:pStyle w:val="TableContents"/>
              <w:bidi w:val="0"/>
              <w:spacing w:before="0" w:after="283"/>
              <w:jc w:val="left"/>
              <w:rPr/>
            </w:pPr>
            <w:r>
              <w:rPr/>
              <w:t>...........................................................................................</w:t>
            </w:r>
          </w:p>
        </w:tc>
      </w:tr>
      <w:tr>
        <w:trPr/>
        <w:tc>
          <w:tcPr>
            <w:tcW w:w="5435" w:type="dxa"/>
            <w:tcBorders/>
            <w:vAlign w:val="center"/>
          </w:tcPr>
          <w:p>
            <w:pPr>
              <w:pStyle w:val="TableContents"/>
              <w:bidi w:val="0"/>
              <w:spacing w:before="0" w:after="283"/>
              <w:jc w:val="center"/>
              <w:rPr/>
            </w:pPr>
            <w:r>
              <w:rPr/>
              <w:t>(Name of Party)</w:t>
            </w:r>
          </w:p>
        </w:tc>
        <w:tc>
          <w:tcPr>
            <w:tcW w:w="60" w:type="dxa"/>
            <w:tcBorders/>
            <w:vAlign w:val="center"/>
          </w:tcPr>
          <w:p>
            <w:pPr>
              <w:pStyle w:val="TableContents"/>
              <w:bidi w:val="0"/>
              <w:spacing w:before="0" w:after="283"/>
              <w:jc w:val="center"/>
              <w:rPr/>
            </w:pPr>
            <w:r>
              <w:rPr/>
              <w:t> </w:t>
            </w:r>
          </w:p>
        </w:tc>
        <w:tc>
          <w:tcPr>
            <w:tcW w:w="5495" w:type="dxa"/>
            <w:tcBorders/>
            <w:vAlign w:val="center"/>
          </w:tcPr>
          <w:p>
            <w:pPr>
              <w:pStyle w:val="TableContents"/>
              <w:bidi w:val="0"/>
              <w:spacing w:before="0" w:after="283"/>
              <w:jc w:val="center"/>
              <w:rPr/>
            </w:pPr>
            <w:r>
              <w:rPr/>
              <w:t>(Name of Party)</w:t>
            </w:r>
          </w:p>
        </w:tc>
      </w:tr>
    </w:tbl>
    <w:p>
      <w:pPr>
        <w:pStyle w:val="TextBody"/>
        <w:bidi w:val="0"/>
        <w:spacing w:before="94" w:after="94"/>
        <w:ind w:left="364" w:right="94" w:hanging="0"/>
        <w:jc w:val="left"/>
        <w:rPr/>
      </w:pPr>
      <w:r>
        <w:rPr/>
        <w:t> </w:t>
      </w:r>
    </w:p>
    <w:p>
      <w:pPr>
        <w:pStyle w:val="TextBody"/>
        <w:bidi w:val="0"/>
        <w:spacing w:before="94" w:after="94"/>
        <w:ind w:left="364" w:right="94" w:hanging="0"/>
        <w:jc w:val="left"/>
        <w:rPr/>
      </w:pPr>
      <w:r>
        <w:rPr/>
        <w:t> </w:t>
      </w:r>
    </w:p>
    <w:tbl>
      <w:tblPr>
        <w:tblW w:w="5870" w:type="dxa"/>
        <w:jc w:val="left"/>
        <w:tblInd w:w="0" w:type="dxa"/>
        <w:tblLayout w:type="fixed"/>
        <w:tblCellMar>
          <w:top w:w="0" w:type="dxa"/>
          <w:left w:w="0" w:type="dxa"/>
          <w:bottom w:w="0" w:type="dxa"/>
          <w:right w:w="0" w:type="dxa"/>
        </w:tblCellMar>
      </w:tblPr>
      <w:tblGrid>
        <w:gridCol w:w="380"/>
        <w:gridCol w:w="2675"/>
        <w:gridCol w:w="60"/>
        <w:gridCol w:w="365"/>
        <w:gridCol w:w="2390"/>
      </w:tblGrid>
      <w:tr>
        <w:trPr/>
        <w:tc>
          <w:tcPr>
            <w:tcW w:w="380" w:type="dxa"/>
            <w:tcBorders/>
            <w:vAlign w:val="center"/>
          </w:tcPr>
          <w:p>
            <w:pPr>
              <w:pStyle w:val="TableContents"/>
              <w:bidi w:val="0"/>
              <w:spacing w:before="0" w:after="283"/>
              <w:jc w:val="left"/>
              <w:rPr/>
            </w:pPr>
            <w:r>
              <w:rPr/>
              <w:t>By:</w:t>
            </w:r>
          </w:p>
        </w:tc>
        <w:tc>
          <w:tcPr>
            <w:tcW w:w="2675" w:type="dxa"/>
            <w:tcBorders/>
            <w:vAlign w:val="center"/>
          </w:tcPr>
          <w:p>
            <w:pPr>
              <w:pStyle w:val="TableContents"/>
              <w:bidi w:val="0"/>
              <w:spacing w:before="0" w:after="283"/>
              <w:jc w:val="left"/>
              <w:rPr/>
            </w:pPr>
            <w:r>
              <w:rPr/>
              <w:t>/s/ Allan Gregory Boyd</w:t>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By:</w:t>
            </w:r>
          </w:p>
        </w:tc>
        <w:tc>
          <w:tcPr>
            <w:tcW w:w="2390" w:type="dxa"/>
            <w:tcBorders/>
            <w:vAlign w:val="center"/>
          </w:tcPr>
          <w:p>
            <w:pPr>
              <w:pStyle w:val="TableContents"/>
              <w:bidi w:val="0"/>
              <w:spacing w:before="0" w:after="283"/>
              <w:jc w:val="left"/>
              <w:rPr/>
            </w:pPr>
            <w:r>
              <w:rPr/>
              <w:t>/s/ Kevin J. McGurn</w:t>
            </w:r>
          </w:p>
        </w:tc>
      </w:tr>
      <w:tr>
        <w:trPr/>
        <w:tc>
          <w:tcPr>
            <w:tcW w:w="38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36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Name: Allan Gregory Boyd</w:t>
            </w:r>
          </w:p>
        </w:tc>
        <w:tc>
          <w:tcPr>
            <w:tcW w:w="60" w:type="dxa"/>
            <w:tcBorders/>
            <w:vAlign w:val="center"/>
          </w:tcPr>
          <w:p>
            <w:pPr>
              <w:pStyle w:val="TableContents"/>
              <w:bidi w:val="0"/>
              <w:spacing w:before="0" w:after="283"/>
              <w:jc w:val="center"/>
              <w:rPr/>
            </w:pPr>
            <w:r>
              <w:rPr/>
              <w:t> </w:t>
            </w:r>
          </w:p>
        </w:tc>
        <w:tc>
          <w:tcPr>
            <w:tcW w:w="36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Name: Kevin J. McGurn</w:t>
            </w:r>
          </w:p>
        </w:tc>
      </w:tr>
      <w:tr>
        <w:trPr/>
        <w:tc>
          <w:tcPr>
            <w:tcW w:w="38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36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Title: Director</w:t>
            </w:r>
          </w:p>
        </w:tc>
        <w:tc>
          <w:tcPr>
            <w:tcW w:w="60" w:type="dxa"/>
            <w:tcBorders/>
            <w:vAlign w:val="center"/>
          </w:tcPr>
          <w:p>
            <w:pPr>
              <w:pStyle w:val="TableContents"/>
              <w:bidi w:val="0"/>
              <w:spacing w:before="0" w:after="283"/>
              <w:jc w:val="center"/>
              <w:rPr/>
            </w:pPr>
            <w:r>
              <w:rPr/>
              <w:t> </w:t>
            </w:r>
          </w:p>
        </w:tc>
        <w:tc>
          <w:tcPr>
            <w:tcW w:w="36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Title: CEO</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jc w:val="right"/>
        <w:rPr>
          <w:b/>
        </w:rPr>
      </w:pPr>
      <w:bookmarkStart w:id="26" w:name="exh_102.htm"/>
      <w:bookmarkStart w:id="27" w:name="ksexh_102"/>
      <w:bookmarkEnd w:id="26"/>
      <w:bookmarkEnd w:id="27"/>
      <w:r>
        <w:rPr>
          <w:b/>
        </w:rPr>
        <w:t>Exhibit 10.2</w:t>
      </w:r>
      <w:r>
        <w:br w:type="page"/>
      </w:r>
    </w:p>
    <w:p>
      <w:pPr>
        <w:pStyle w:val="TextBody"/>
        <w:bidi w:val="0"/>
        <w:spacing w:before="0" w:after="283"/>
        <w:jc w:val="left"/>
        <w:rPr/>
      </w:pPr>
      <w:r>
        <w:rPr/>
        <w:t> </w:t>
      </w:r>
    </w:p>
    <w:p>
      <w:pPr>
        <w:pStyle w:val="TextBody"/>
        <w:bidi w:val="0"/>
        <w:spacing w:before="0" w:after="0"/>
        <w:ind w:left="0" w:right="0" w:hanging="0"/>
        <w:jc w:val="center"/>
        <w:rPr>
          <w:sz w:val="20"/>
        </w:rPr>
      </w:pPr>
      <w:r>
        <w:rPr>
          <w:b/>
          <w:sz w:val="48"/>
        </w:rPr>
        <w:t>ISDA</w:t>
      </w:r>
      <w:r>
        <w:rPr>
          <w:sz w:val="20"/>
        </w:rPr>
        <w:t>®</w:t>
      </w:r>
    </w:p>
    <w:p>
      <w:pPr>
        <w:pStyle w:val="TextBody"/>
        <w:bidi w:val="0"/>
        <w:spacing w:before="0" w:after="0"/>
        <w:ind w:left="0" w:right="0" w:hanging="0"/>
        <w:jc w:val="center"/>
        <w:rPr>
          <w:sz w:val="20"/>
        </w:rPr>
      </w:pPr>
      <w:r>
        <w:rPr>
          <w:sz w:val="20"/>
        </w:rPr>
        <w:t>International Swaps and Derivatives Association, Inc.</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SCHEDULE</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to the</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2002 Master Agreement</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dated as of 10 March 2026</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between</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4246"/>
        <w:gridCol w:w="320"/>
        <w:gridCol w:w="5639"/>
      </w:tblGrid>
      <w:tr>
        <w:trPr/>
        <w:tc>
          <w:tcPr>
            <w:tcW w:w="4246" w:type="dxa"/>
            <w:tcBorders/>
            <w:vAlign w:val="center"/>
          </w:tcPr>
          <w:p>
            <w:pPr>
              <w:pStyle w:val="TableContents"/>
              <w:bidi w:val="0"/>
              <w:spacing w:before="0" w:after="0"/>
              <w:ind w:left="0" w:right="0" w:hanging="0"/>
              <w:jc w:val="center"/>
              <w:rPr>
                <w:sz w:val="20"/>
              </w:rPr>
            </w:pPr>
            <w:r>
              <w:rPr>
                <w:b/>
                <w:sz w:val="20"/>
              </w:rPr>
              <w:t>Blockchain.com (BVI) II Limited</w:t>
            </w:r>
            <w:r>
              <w:rPr>
                <w:i/>
                <w:sz w:val="20"/>
              </w:rPr>
              <w:t>,</w:t>
            </w:r>
          </w:p>
          <w:p>
            <w:pPr>
              <w:pStyle w:val="TableContents"/>
              <w:bidi w:val="0"/>
              <w:spacing w:before="0" w:after="0"/>
              <w:ind w:left="0" w:right="0" w:hanging="0"/>
              <w:jc w:val="center"/>
              <w:rPr>
                <w:i/>
                <w:sz w:val="20"/>
              </w:rPr>
            </w:pPr>
            <w:r>
              <w:rPr>
                <w:i/>
                <w:sz w:val="20"/>
              </w:rPr>
              <w:t>a business company incorporated under the laws of the British Virgin Islands</w:t>
            </w:r>
          </w:p>
          <w:p>
            <w:pPr>
              <w:pStyle w:val="TableContents"/>
              <w:bidi w:val="0"/>
              <w:spacing w:before="0" w:after="0"/>
              <w:ind w:left="0" w:right="0" w:hanging="0"/>
              <w:jc w:val="center"/>
              <w:rPr/>
            </w:pPr>
            <w:r>
              <w:rPr/>
              <w:t> </w:t>
            </w:r>
          </w:p>
          <w:p>
            <w:pPr>
              <w:pStyle w:val="TableContents"/>
              <w:bidi w:val="0"/>
              <w:spacing w:before="0" w:after="0"/>
              <w:ind w:left="0" w:right="0" w:hanging="0"/>
              <w:jc w:val="center"/>
              <w:rPr>
                <w:sz w:val="20"/>
              </w:rPr>
            </w:pPr>
            <w:r>
              <w:rPr>
                <w:sz w:val="20"/>
              </w:rPr>
              <w:t>(“</w:t>
            </w:r>
            <w:r>
              <w:rPr>
                <w:b/>
                <w:i/>
                <w:sz w:val="20"/>
              </w:rPr>
              <w:t>Party A</w:t>
            </w:r>
            <w:r>
              <w:rPr>
                <w:sz w:val="20"/>
              </w:rPr>
              <w:t>”)</w:t>
            </w:r>
          </w:p>
          <w:p>
            <w:pPr>
              <w:pStyle w:val="TableContents"/>
              <w:bidi w:val="0"/>
              <w:spacing w:before="0" w:after="0"/>
              <w:ind w:left="0" w:right="0" w:hanging="0"/>
              <w:jc w:val="center"/>
              <w:rPr/>
            </w:pPr>
            <w:r>
              <w:rPr/>
              <w:t> </w:t>
            </w:r>
          </w:p>
        </w:tc>
        <w:tc>
          <w:tcPr>
            <w:tcW w:w="320" w:type="dxa"/>
            <w:tcBorders/>
            <w:vAlign w:val="center"/>
          </w:tcPr>
          <w:p>
            <w:pPr>
              <w:pStyle w:val="TableContents"/>
              <w:bidi w:val="0"/>
              <w:spacing w:before="0" w:after="283"/>
              <w:jc w:val="center"/>
              <w:rPr>
                <w:sz w:val="20"/>
              </w:rPr>
            </w:pPr>
            <w:r>
              <w:rPr>
                <w:sz w:val="20"/>
              </w:rPr>
              <w:t>and</w:t>
            </w:r>
          </w:p>
        </w:tc>
        <w:tc>
          <w:tcPr>
            <w:tcW w:w="5639" w:type="dxa"/>
            <w:tcBorders/>
            <w:vAlign w:val="center"/>
          </w:tcPr>
          <w:p>
            <w:pPr>
              <w:pStyle w:val="TableContents"/>
              <w:bidi w:val="0"/>
              <w:spacing w:before="0" w:after="0"/>
              <w:ind w:left="0" w:right="0" w:hanging="0"/>
              <w:jc w:val="center"/>
              <w:rPr>
                <w:sz w:val="20"/>
              </w:rPr>
            </w:pPr>
            <w:r>
              <w:rPr>
                <w:b/>
                <w:sz w:val="20"/>
              </w:rPr>
              <w:t>Sono Group N.V.</w:t>
            </w:r>
            <w:r>
              <w:rPr>
                <w:i/>
                <w:sz w:val="20"/>
              </w:rPr>
              <w:t>,</w:t>
            </w:r>
          </w:p>
          <w:p>
            <w:pPr>
              <w:pStyle w:val="TableContents"/>
              <w:bidi w:val="0"/>
              <w:spacing w:before="0" w:after="0"/>
              <w:ind w:left="0" w:right="0" w:hanging="0"/>
              <w:jc w:val="center"/>
              <w:rPr>
                <w:i/>
                <w:sz w:val="20"/>
              </w:rPr>
            </w:pPr>
            <w:r>
              <w:rPr>
                <w:i/>
                <w:sz w:val="20"/>
              </w:rPr>
              <w:t>a public limited liability company (naamloze vennootschap) incorporated under the laws of the Netherlands</w:t>
            </w:r>
          </w:p>
          <w:p>
            <w:pPr>
              <w:pStyle w:val="TableContents"/>
              <w:bidi w:val="0"/>
              <w:spacing w:before="0" w:after="0"/>
              <w:ind w:left="0" w:right="0" w:hanging="0"/>
              <w:jc w:val="center"/>
              <w:rPr/>
            </w:pPr>
            <w:r>
              <w:rPr/>
              <w:t> </w:t>
            </w:r>
          </w:p>
          <w:p>
            <w:pPr>
              <w:pStyle w:val="TableContents"/>
              <w:bidi w:val="0"/>
              <w:spacing w:before="0" w:after="0"/>
              <w:ind w:left="0" w:right="0" w:hanging="0"/>
              <w:jc w:val="center"/>
              <w:rPr>
                <w:sz w:val="20"/>
              </w:rPr>
            </w:pPr>
            <w:r>
              <w:rPr>
                <w:sz w:val="20"/>
              </w:rPr>
              <w:t>(“</w:t>
            </w:r>
            <w:r>
              <w:rPr>
                <w:b/>
                <w:i/>
                <w:sz w:val="20"/>
              </w:rPr>
              <w:t>Party B</w:t>
            </w:r>
            <w:r>
              <w:rPr>
                <w:sz w:val="20"/>
              </w:rPr>
              <w:t>”)</w:t>
            </w:r>
          </w:p>
          <w:p>
            <w:pPr>
              <w:pStyle w:val="TableContents"/>
              <w:bidi w:val="0"/>
              <w:spacing w:before="0" w:after="0"/>
              <w:ind w:left="0" w:right="0" w:hanging="0"/>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13"/>
        <w:gridCol w:w="1407"/>
        <w:gridCol w:w="8685"/>
      </w:tblGrid>
      <w:tr>
        <w:trPr/>
        <w:tc>
          <w:tcPr>
            <w:tcW w:w="113"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b/>
              </w:rPr>
            </w:pPr>
            <w:r>
              <w:rPr>
                <w:b/>
              </w:rPr>
              <w:t>Part</w:t>
            </w:r>
          </w:p>
        </w:tc>
        <w:tc>
          <w:tcPr>
            <w:tcW w:w="8685" w:type="dxa"/>
            <w:tcBorders/>
            <w:vAlign w:val="center"/>
          </w:tcPr>
          <w:p>
            <w:pPr>
              <w:pStyle w:val="TableContents"/>
              <w:bidi w:val="0"/>
              <w:spacing w:before="0" w:after="283"/>
              <w:jc w:val="both"/>
              <w:rPr>
                <w:b/>
              </w:rPr>
            </w:pPr>
            <w:r>
              <w:rPr>
                <w:b/>
              </w:rPr>
              <w:t>1.    Termination Provisions.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7"/>
        <w:gridCol w:w="1000"/>
        <w:gridCol w:w="9068"/>
      </w:tblGrid>
      <w:tr>
        <w:trPr/>
        <w:tc>
          <w:tcPr>
            <w:tcW w:w="13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pPr>
            <w:r>
              <w:rPr/>
              <w:t>(a)</w:t>
            </w:r>
          </w:p>
        </w:tc>
        <w:tc>
          <w:tcPr>
            <w:tcW w:w="9068" w:type="dxa"/>
            <w:tcBorders/>
            <w:vAlign w:val="center"/>
          </w:tcPr>
          <w:p>
            <w:pPr>
              <w:pStyle w:val="TableContents"/>
              <w:bidi w:val="0"/>
              <w:spacing w:before="0" w:after="283"/>
              <w:jc w:val="both"/>
              <w:rPr/>
            </w:pPr>
            <w:r>
              <w:rPr/>
              <w:t>“</w:t>
            </w:r>
            <w:r>
              <w:rPr>
                <w:b/>
                <w:i/>
              </w:rPr>
              <w:t>Specified Entity</w:t>
            </w:r>
            <w:r>
              <w:rPr/>
              <w:t>” means: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4"/>
        <w:gridCol w:w="575"/>
        <w:gridCol w:w="9536"/>
      </w:tblGrid>
      <w:tr>
        <w:trPr/>
        <w:tc>
          <w:tcPr>
            <w:tcW w:w="9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pPr>
            <w:r>
              <w:rPr/>
              <w:t>(i)</w:t>
            </w:r>
          </w:p>
        </w:tc>
        <w:tc>
          <w:tcPr>
            <w:tcW w:w="9536" w:type="dxa"/>
            <w:tcBorders/>
            <w:vAlign w:val="center"/>
          </w:tcPr>
          <w:p>
            <w:pPr>
              <w:pStyle w:val="TableContents"/>
              <w:bidi w:val="0"/>
              <w:spacing w:before="0" w:after="283"/>
              <w:jc w:val="both"/>
              <w:rPr/>
            </w:pPr>
            <w:r>
              <w:rPr/>
              <w:t>in relation to Party A for the purpose of:</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
        <w:gridCol w:w="436"/>
        <w:gridCol w:w="9713"/>
      </w:tblGrid>
      <w:tr>
        <w:trPr/>
        <w:tc>
          <w:tcPr>
            <w:tcW w:w="5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pPr>
            <w:r>
              <w:rPr/>
              <w:t>(1)</w:t>
            </w:r>
          </w:p>
        </w:tc>
        <w:tc>
          <w:tcPr>
            <w:tcW w:w="9713" w:type="dxa"/>
            <w:tcBorders/>
            <w:vAlign w:val="center"/>
          </w:tcPr>
          <w:p>
            <w:pPr>
              <w:pStyle w:val="TableContents"/>
              <w:bidi w:val="0"/>
              <w:spacing w:before="0" w:after="283"/>
              <w:jc w:val="both"/>
              <w:rPr/>
            </w:pPr>
            <w:r>
              <w:rPr/>
              <w:t>Section 5(a)(v) (</w:t>
            </w:r>
            <w:r>
              <w:rPr>
                <w:i/>
              </w:rPr>
              <w:t>Default Under Specified Transaction</w:t>
            </w:r>
            <w:r>
              <w:rPr/>
              <w:t xml:space="preserve">): </w:t>
              <w:tab/>
              <w:t>its Affiliates;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6"/>
        <w:gridCol w:w="736"/>
        <w:gridCol w:w="9373"/>
      </w:tblGrid>
      <w:tr>
        <w:trPr/>
        <w:tc>
          <w:tcPr>
            <w:tcW w:w="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pPr>
            <w:r>
              <w:rPr/>
              <w:t>(2)</w:t>
            </w:r>
          </w:p>
        </w:tc>
        <w:tc>
          <w:tcPr>
            <w:tcW w:w="9373" w:type="dxa"/>
            <w:tcBorders/>
            <w:vAlign w:val="center"/>
          </w:tcPr>
          <w:p>
            <w:pPr>
              <w:pStyle w:val="TableContents"/>
              <w:bidi w:val="0"/>
              <w:spacing w:before="0" w:after="283"/>
              <w:jc w:val="both"/>
              <w:rPr/>
            </w:pPr>
            <w:r>
              <w:rPr/>
              <w:t>Section 5(a)(vi) (</w:t>
            </w:r>
            <w:r>
              <w:rPr>
                <w:i/>
              </w:rPr>
              <w:t>Cross-Default</w:t>
            </w:r>
            <w:r>
              <w:rPr/>
              <w:t xml:space="preserve">): </w:t>
              <w:tab/>
              <w:t>none;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
        <w:gridCol w:w="782"/>
        <w:gridCol w:w="9321"/>
      </w:tblGrid>
      <w:tr>
        <w:trPr/>
        <w:tc>
          <w:tcPr>
            <w:tcW w:w="10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pPr>
            <w:r>
              <w:rPr/>
              <w:t>(3)</w:t>
            </w:r>
          </w:p>
        </w:tc>
        <w:tc>
          <w:tcPr>
            <w:tcW w:w="9321" w:type="dxa"/>
            <w:tcBorders/>
            <w:vAlign w:val="center"/>
          </w:tcPr>
          <w:p>
            <w:pPr>
              <w:pStyle w:val="TableContents"/>
              <w:bidi w:val="0"/>
              <w:spacing w:before="0" w:after="283"/>
              <w:jc w:val="both"/>
              <w:rPr/>
            </w:pPr>
            <w:r>
              <w:rPr/>
              <w:t>Section 5(a)(vii) (</w:t>
            </w:r>
            <w:r>
              <w:rPr>
                <w:i/>
              </w:rPr>
              <w:t>Bankruptcy</w:t>
            </w:r>
            <w:r>
              <w:rPr/>
              <w:t>):</w:t>
              <w:tab/>
              <w:t>none;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9"/>
        <w:gridCol w:w="533"/>
        <w:gridCol w:w="9603"/>
      </w:tblGrid>
      <w:tr>
        <w:trPr/>
        <w:tc>
          <w:tcPr>
            <w:tcW w:w="6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pPr>
            <w:r>
              <w:rPr/>
              <w:t>(4)</w:t>
            </w:r>
          </w:p>
        </w:tc>
        <w:tc>
          <w:tcPr>
            <w:tcW w:w="9603" w:type="dxa"/>
            <w:tcBorders/>
            <w:vAlign w:val="center"/>
          </w:tcPr>
          <w:p>
            <w:pPr>
              <w:pStyle w:val="TableContents"/>
              <w:bidi w:val="0"/>
              <w:spacing w:before="0" w:after="283"/>
              <w:jc w:val="both"/>
              <w:rPr/>
            </w:pPr>
            <w:r>
              <w:rPr/>
              <w:t>Section 5(b)(v) (</w:t>
            </w:r>
            <w:r>
              <w:rPr>
                <w:i/>
              </w:rPr>
              <w:t>Credit Event Upon Merger</w:t>
            </w:r>
            <w:r>
              <w:rPr/>
              <w:t>):</w:t>
              <w:tab/>
              <w:t>none;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5"/>
        <w:gridCol w:w="499"/>
        <w:gridCol w:w="9641"/>
      </w:tblGrid>
      <w:tr>
        <w:trPr/>
        <w:tc>
          <w:tcPr>
            <w:tcW w:w="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pPr>
            <w:r>
              <w:rPr/>
              <w:t>(5)</w:t>
            </w:r>
          </w:p>
        </w:tc>
        <w:tc>
          <w:tcPr>
            <w:tcW w:w="9641" w:type="dxa"/>
            <w:tcBorders/>
            <w:vAlign w:val="center"/>
          </w:tcPr>
          <w:p>
            <w:pPr>
              <w:pStyle w:val="TableContents"/>
              <w:bidi w:val="0"/>
              <w:spacing w:before="0" w:after="283"/>
              <w:jc w:val="both"/>
              <w:rPr/>
            </w:pPr>
            <w:r>
              <w:rPr/>
              <w:t>Section 5(b)(vi) (</w:t>
            </w:r>
            <w:r>
              <w:rPr>
                <w:i/>
              </w:rPr>
              <w:t>Additional Termination Event</w:t>
            </w:r>
            <w:r>
              <w:rPr/>
              <w:t>):</w:t>
              <w:tab/>
              <w:t>none;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3"/>
        <w:gridCol w:w="717"/>
        <w:gridCol w:w="9395"/>
      </w:tblGrid>
      <w:tr>
        <w:trPr/>
        <w:tc>
          <w:tcPr>
            <w:tcW w:w="9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pPr>
            <w:r>
              <w:rPr/>
              <w:t>(ii)</w:t>
            </w:r>
          </w:p>
        </w:tc>
        <w:tc>
          <w:tcPr>
            <w:tcW w:w="9395" w:type="dxa"/>
            <w:tcBorders/>
            <w:vAlign w:val="center"/>
          </w:tcPr>
          <w:p>
            <w:pPr>
              <w:pStyle w:val="TableContents"/>
              <w:bidi w:val="0"/>
              <w:spacing w:before="0" w:after="283"/>
              <w:jc w:val="both"/>
              <w:rPr/>
            </w:pPr>
            <w:r>
              <w:rPr/>
              <w:t>in relation to Party B for the purpose of:</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
        <w:gridCol w:w="436"/>
        <w:gridCol w:w="9713"/>
      </w:tblGrid>
      <w:tr>
        <w:trPr/>
        <w:tc>
          <w:tcPr>
            <w:tcW w:w="5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pPr>
            <w:r>
              <w:rPr/>
              <w:t>(1)</w:t>
            </w:r>
          </w:p>
        </w:tc>
        <w:tc>
          <w:tcPr>
            <w:tcW w:w="9713" w:type="dxa"/>
            <w:tcBorders/>
            <w:vAlign w:val="center"/>
          </w:tcPr>
          <w:p>
            <w:pPr>
              <w:pStyle w:val="TableContents"/>
              <w:bidi w:val="0"/>
              <w:spacing w:before="0" w:after="283"/>
              <w:jc w:val="both"/>
              <w:rPr/>
            </w:pPr>
            <w:r>
              <w:rPr/>
              <w:t>Section 5(a)(v) (</w:t>
            </w:r>
            <w:r>
              <w:rPr>
                <w:i/>
              </w:rPr>
              <w:t>Default Under Specified Transaction</w:t>
            </w:r>
            <w:r>
              <w:rPr/>
              <w:t xml:space="preserve">): </w:t>
              <w:tab/>
              <w:t>its Affiliates;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6"/>
        <w:gridCol w:w="736"/>
        <w:gridCol w:w="9373"/>
      </w:tblGrid>
      <w:tr>
        <w:trPr/>
        <w:tc>
          <w:tcPr>
            <w:tcW w:w="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pPr>
            <w:r>
              <w:rPr/>
              <w:t>(2)</w:t>
            </w:r>
          </w:p>
        </w:tc>
        <w:tc>
          <w:tcPr>
            <w:tcW w:w="9373" w:type="dxa"/>
            <w:tcBorders/>
            <w:vAlign w:val="center"/>
          </w:tcPr>
          <w:p>
            <w:pPr>
              <w:pStyle w:val="TableContents"/>
              <w:bidi w:val="0"/>
              <w:spacing w:before="0" w:after="283"/>
              <w:jc w:val="both"/>
              <w:rPr/>
            </w:pPr>
            <w:r>
              <w:rPr/>
              <w:t>Section 5(a)(vi) (</w:t>
            </w:r>
            <w:r>
              <w:rPr>
                <w:i/>
              </w:rPr>
              <w:t>Cross-Default</w:t>
            </w:r>
            <w:r>
              <w:rPr/>
              <w:t xml:space="preserve">): </w:t>
              <w:tab/>
              <w:t>none;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
        <w:gridCol w:w="782"/>
        <w:gridCol w:w="9321"/>
      </w:tblGrid>
      <w:tr>
        <w:trPr/>
        <w:tc>
          <w:tcPr>
            <w:tcW w:w="10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pPr>
            <w:r>
              <w:rPr/>
              <w:t>(3)</w:t>
            </w:r>
          </w:p>
        </w:tc>
        <w:tc>
          <w:tcPr>
            <w:tcW w:w="9321" w:type="dxa"/>
            <w:tcBorders/>
            <w:vAlign w:val="center"/>
          </w:tcPr>
          <w:p>
            <w:pPr>
              <w:pStyle w:val="TableContents"/>
              <w:bidi w:val="0"/>
              <w:spacing w:before="0" w:after="283"/>
              <w:jc w:val="both"/>
              <w:rPr/>
            </w:pPr>
            <w:r>
              <w:rPr/>
              <w:t>Section 5(a)(vii) (</w:t>
            </w:r>
            <w:r>
              <w:rPr>
                <w:i/>
              </w:rPr>
              <w:t>Bankruptcy</w:t>
            </w:r>
            <w:r>
              <w:rPr/>
              <w:t>):</w:t>
              <w:tab/>
              <w:t>none;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9"/>
        <w:gridCol w:w="533"/>
        <w:gridCol w:w="9603"/>
      </w:tblGrid>
      <w:tr>
        <w:trPr/>
        <w:tc>
          <w:tcPr>
            <w:tcW w:w="6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pPr>
            <w:r>
              <w:rPr/>
              <w:t>(4)</w:t>
            </w:r>
          </w:p>
        </w:tc>
        <w:tc>
          <w:tcPr>
            <w:tcW w:w="9603" w:type="dxa"/>
            <w:tcBorders/>
            <w:vAlign w:val="center"/>
          </w:tcPr>
          <w:p>
            <w:pPr>
              <w:pStyle w:val="TableContents"/>
              <w:bidi w:val="0"/>
              <w:spacing w:before="0" w:after="283"/>
              <w:jc w:val="both"/>
              <w:rPr/>
            </w:pPr>
            <w:r>
              <w:rPr/>
              <w:t>Section 5(b)(v) (</w:t>
            </w:r>
            <w:r>
              <w:rPr>
                <w:i/>
              </w:rPr>
              <w:t>Credit Event Upon Merger</w:t>
            </w:r>
            <w:r>
              <w:rPr/>
              <w:t>):</w:t>
              <w:tab/>
              <w:t>none;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0"/>
        <w:gridCol w:w="542"/>
        <w:gridCol w:w="9593"/>
      </w:tblGrid>
      <w:tr>
        <w:trPr/>
        <w:tc>
          <w:tcPr>
            <w:tcW w:w="7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pPr>
            <w:r>
              <w:rPr/>
              <w:t>(5)</w:t>
            </w:r>
          </w:p>
        </w:tc>
        <w:tc>
          <w:tcPr>
            <w:tcW w:w="9593" w:type="dxa"/>
            <w:tcBorders/>
            <w:vAlign w:val="center"/>
          </w:tcPr>
          <w:p>
            <w:pPr>
              <w:pStyle w:val="TableContents"/>
              <w:bidi w:val="0"/>
              <w:spacing w:before="0" w:after="283"/>
              <w:jc w:val="both"/>
              <w:rPr/>
            </w:pPr>
            <w:r>
              <w:rPr/>
              <w:t>Section 5(b)(vi) (</w:t>
            </w:r>
            <w:r>
              <w:rPr>
                <w:i/>
              </w:rPr>
              <w:t>Additional Termination Event</w:t>
            </w:r>
            <w:r>
              <w:rPr/>
              <w:t>):</w:t>
              <w:tab/>
              <w:t>none.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(b)</w:t>
            </w:r>
          </w:p>
        </w:tc>
        <w:tc>
          <w:tcPr>
            <w:tcW w:w="9922" w:type="dxa"/>
            <w:tcBorders/>
            <w:vAlign w:val="center"/>
          </w:tcPr>
          <w:p>
            <w:pPr>
              <w:pStyle w:val="TableContents"/>
              <w:bidi w:val="0"/>
              <w:spacing w:before="0" w:after="283"/>
              <w:jc w:val="both"/>
              <w:rPr/>
            </w:pPr>
            <w:r>
              <w:rPr/>
              <w:t>“</w:t>
            </w:r>
            <w:r>
              <w:rPr>
                <w:b/>
                <w:i/>
              </w:rPr>
              <w:t>Specified Transaction</w:t>
            </w:r>
            <w:r>
              <w:rPr/>
              <w:t>” has the meaning specified in Section 14 (</w:t>
            </w:r>
            <w:r>
              <w:rPr>
                <w:i/>
              </w:rPr>
              <w:t>Definitions</w:t>
            </w:r>
            <w:r>
              <w:rPr/>
              <w:t xml:space="preserve">) of this Agreement; </w:t>
            </w:r>
            <w:r>
              <w:rPr>
                <w:i/>
              </w:rPr>
              <w:t xml:space="preserve">provided that </w:t>
            </w:r>
            <w:r>
              <w:rPr/>
              <w:t>Specified Transactions shall also include Crypto Activities (as defined in Part 5(m) (</w:t>
            </w:r>
            <w:r>
              <w:rPr>
                <w:i/>
              </w:rPr>
              <w:t>Additional Definitions</w:t>
            </w:r>
            <w:r>
              <w:rPr/>
              <w:t>) hereof).</w:t>
            </w:r>
          </w:p>
        </w:tc>
      </w:tr>
    </w:tbl>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3"/>
        <w:gridCol w:w="536"/>
        <w:gridCol w:w="9596"/>
      </w:tblGrid>
      <w:tr>
        <w:trPr/>
        <w:tc>
          <w:tcPr>
            <w:tcW w:w="7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pPr>
            <w:r>
              <w:rPr/>
              <w:t>(c)</w:t>
            </w:r>
          </w:p>
        </w:tc>
        <w:tc>
          <w:tcPr>
            <w:tcW w:w="9596" w:type="dxa"/>
            <w:tcBorders/>
            <w:vAlign w:val="center"/>
          </w:tcPr>
          <w:p>
            <w:pPr>
              <w:pStyle w:val="TableContents"/>
              <w:bidi w:val="0"/>
              <w:spacing w:before="0" w:after="283"/>
              <w:jc w:val="both"/>
              <w:rPr/>
            </w:pPr>
            <w:r>
              <w:rPr/>
              <w:t>The “</w:t>
            </w:r>
            <w:r>
              <w:rPr>
                <w:b/>
                <w:i/>
              </w:rPr>
              <w:t>Cross-Default</w:t>
            </w:r>
            <w:r>
              <w:rPr/>
              <w:t>” provisions of Section 5(a)(vi):</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1"/>
        <w:gridCol w:w="854"/>
        <w:gridCol w:w="9210"/>
      </w:tblGrid>
      <w:tr>
        <w:trPr/>
        <w:tc>
          <w:tcPr>
            <w:tcW w:w="14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pPr>
            <w:r>
              <w:rPr/>
              <w:t>(i)</w:t>
            </w:r>
          </w:p>
        </w:tc>
        <w:tc>
          <w:tcPr>
            <w:tcW w:w="9210" w:type="dxa"/>
            <w:tcBorders/>
            <w:vAlign w:val="center"/>
          </w:tcPr>
          <w:p>
            <w:pPr>
              <w:pStyle w:val="TableContents"/>
              <w:bidi w:val="0"/>
              <w:spacing w:before="0" w:after="283"/>
              <w:jc w:val="both"/>
              <w:rPr/>
            </w:pPr>
            <w:r>
              <w:rPr/>
              <w:t>will apply to Party A;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2"/>
        <w:gridCol w:w="1239"/>
        <w:gridCol w:w="8804"/>
      </w:tblGrid>
      <w:tr>
        <w:trPr/>
        <w:tc>
          <w:tcPr>
            <w:tcW w:w="16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pPr>
            <w:r>
              <w:rPr/>
              <w:t>(ii)</w:t>
            </w:r>
          </w:p>
        </w:tc>
        <w:tc>
          <w:tcPr>
            <w:tcW w:w="8804" w:type="dxa"/>
            <w:tcBorders/>
            <w:vAlign w:val="center"/>
          </w:tcPr>
          <w:p>
            <w:pPr>
              <w:pStyle w:val="TableContents"/>
              <w:bidi w:val="0"/>
              <w:spacing w:before="0" w:after="283"/>
              <w:jc w:val="both"/>
              <w:rPr/>
            </w:pPr>
            <w:r>
              <w:rPr/>
              <w:t>will apply to Party B;</w:t>
            </w:r>
          </w:p>
        </w:tc>
      </w:tr>
    </w:tbl>
    <w:p>
      <w:pPr>
        <w:pStyle w:val="TextBody"/>
        <w:bidi w:val="0"/>
        <w:spacing w:before="0" w:after="0"/>
        <w:jc w:val="left"/>
        <w:rPr/>
      </w:pPr>
      <w:r>
        <w:rPr/>
        <w:t> </w:t>
      </w:r>
    </w:p>
    <w:p>
      <w:pPr>
        <w:pStyle w:val="TextBody"/>
        <w:bidi w:val="0"/>
        <w:spacing w:before="0" w:after="0"/>
        <w:ind w:left="720" w:right="0" w:hanging="0"/>
        <w:jc w:val="both"/>
        <w:rPr>
          <w:sz w:val="20"/>
        </w:rPr>
      </w:pPr>
      <w:r>
        <w:rPr>
          <w:i/>
          <w:sz w:val="20"/>
        </w:rPr>
        <w:t>provided, however</w:t>
      </w:r>
      <w:r>
        <w:rPr>
          <w:sz w:val="20"/>
        </w:rPr>
        <w:t>, that Section 5(a)(vi) shall be amended by:</w:t>
      </w:r>
    </w:p>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(x)</w:t>
            </w:r>
          </w:p>
        </w:tc>
        <w:tc>
          <w:tcPr>
            <w:tcW w:w="9872" w:type="dxa"/>
            <w:tcBorders/>
            <w:vAlign w:val="center"/>
          </w:tcPr>
          <w:p>
            <w:pPr>
              <w:pStyle w:val="TableContents"/>
              <w:bidi w:val="0"/>
              <w:spacing w:before="0" w:after="283"/>
              <w:jc w:val="both"/>
              <w:rPr/>
            </w:pPr>
            <w:r>
              <w:rPr/>
              <w:t>deleting the phrase “, or becoming capable at such time of being declared” from clause (1) thereof;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4"/>
        <w:gridCol w:w="570"/>
        <w:gridCol w:w="9561"/>
      </w:tblGrid>
      <w:tr>
        <w:trPr/>
        <w:tc>
          <w:tcPr>
            <w:tcW w:w="7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pPr>
            <w:r>
              <w:rPr/>
              <w:t>(y)</w:t>
            </w:r>
          </w:p>
        </w:tc>
        <w:tc>
          <w:tcPr>
            <w:tcW w:w="9561" w:type="dxa"/>
            <w:tcBorders/>
            <w:vAlign w:val="center"/>
          </w:tcPr>
          <w:p>
            <w:pPr>
              <w:pStyle w:val="TableContents"/>
              <w:bidi w:val="0"/>
              <w:spacing w:before="0" w:after="283"/>
              <w:jc w:val="both"/>
              <w:rPr/>
            </w:pPr>
            <w:r>
              <w:rPr/>
              <w:t>inserting the following provision at the end thereof:</w:t>
            </w:r>
          </w:p>
        </w:tc>
      </w:tr>
    </w:tbl>
    <w:p>
      <w:pPr>
        <w:pStyle w:val="TextBody"/>
        <w:bidi w:val="0"/>
        <w:spacing w:before="0" w:after="0"/>
        <w:jc w:val="left"/>
        <w:rPr/>
      </w:pPr>
      <w:r>
        <w:rPr/>
        <w:t> </w:t>
      </w:r>
    </w:p>
    <w:p>
      <w:pPr>
        <w:pStyle w:val="TextBody"/>
        <w:bidi w:val="0"/>
        <w:spacing w:before="0" w:after="0"/>
        <w:ind w:left="1418" w:right="0" w:hanging="0"/>
        <w:jc w:val="both"/>
        <w:rPr/>
      </w:pPr>
      <w:r>
        <w:rPr/>
        <w:t>“</w:t>
      </w:r>
      <w:r>
        <w:rPr>
          <w:sz w:val="20"/>
        </w:rPr>
        <w:t>; provided, however, that notwithstanding the foregoing, an Event of Default shall not occur under either Section 5(a)(vi)(1) or (2) above, if (a) the default, event of default or similar event or condition referred to in Section 5(a)(vi)(1) or the failure to pay referred to in Section 5(a)(vi)(2) is a failure to pay or deliver caused by an error or omission of an administrative or operational nature, (b) funds were available to such party to enable it to make the relevant payment or delivery when due, and (c) such relevant payment or delivery is made within three (3) Local Business Days following receipt of written notice from the relevant party.”</w:t>
      </w:r>
    </w:p>
    <w:p>
      <w:pPr>
        <w:pStyle w:val="TextBody"/>
        <w:bidi w:val="0"/>
        <w:spacing w:before="0" w:after="0"/>
        <w:ind w:left="1418" w:right="0" w:hanging="0"/>
        <w:jc w:val="both"/>
        <w:rPr/>
      </w:pPr>
      <w:r>
        <w:rPr/>
        <w:t> </w:t>
      </w:r>
    </w:p>
    <w:p>
      <w:pPr>
        <w:pStyle w:val="TextBody"/>
        <w:bidi w:val="0"/>
        <w:spacing w:before="0" w:after="0"/>
        <w:ind w:left="709" w:right="0" w:hanging="0"/>
        <w:jc w:val="both"/>
        <w:rPr>
          <w:sz w:val="20"/>
        </w:rPr>
      </w:pPr>
      <w:r>
        <w:rPr>
          <w:sz w:val="20"/>
        </w:rPr>
        <w:t>For purposes of Section 5(a)(vi):</w:t>
      </w:r>
    </w:p>
    <w:p>
      <w:pPr>
        <w:pStyle w:val="TextBody"/>
        <w:bidi w:val="0"/>
        <w:spacing w:before="0" w:after="0"/>
        <w:ind w:left="709" w:right="0" w:hanging="0"/>
        <w:jc w:val="both"/>
        <w:rPr/>
      </w:pPr>
      <w:r>
        <w:rPr/>
        <w:t> </w:t>
      </w:r>
    </w:p>
    <w:p>
      <w:pPr>
        <w:pStyle w:val="TextBody"/>
        <w:bidi w:val="0"/>
        <w:spacing w:before="0" w:after="0"/>
        <w:ind w:left="720" w:right="0" w:firstLine="698"/>
        <w:jc w:val="both"/>
        <w:rPr/>
      </w:pPr>
      <w:r>
        <w:rPr/>
        <w:t>“</w:t>
      </w:r>
      <w:r>
        <w:rPr>
          <w:b/>
          <w:i/>
          <w:sz w:val="20"/>
        </w:rPr>
        <w:t>Specified Indebtedness</w:t>
      </w:r>
      <w:r>
        <w:rPr>
          <w:sz w:val="20"/>
        </w:rPr>
        <w:t>” has the meaning specified in Section 14 of this Agreement; and</w:t>
      </w:r>
    </w:p>
    <w:p>
      <w:pPr>
        <w:pStyle w:val="TextBody"/>
        <w:bidi w:val="0"/>
        <w:spacing w:before="0" w:after="0"/>
        <w:ind w:left="720" w:right="0" w:firstLine="698"/>
        <w:jc w:val="both"/>
        <w:rPr/>
      </w:pPr>
      <w:r>
        <w:rPr/>
        <w:t> </w:t>
      </w:r>
    </w:p>
    <w:p>
      <w:pPr>
        <w:pStyle w:val="TextBody"/>
        <w:bidi w:val="0"/>
        <w:spacing w:before="0" w:after="0"/>
        <w:ind w:left="1418" w:right="0" w:hanging="0"/>
        <w:jc w:val="both"/>
        <w:rPr/>
      </w:pPr>
      <w:r>
        <w:rPr/>
        <w:t>“</w:t>
      </w:r>
      <w:r>
        <w:rPr>
          <w:b/>
          <w:i/>
          <w:sz w:val="20"/>
        </w:rPr>
        <w:t>Threshold Amount</w:t>
      </w:r>
      <w:r>
        <w:rPr>
          <w:sz w:val="20"/>
        </w:rPr>
        <w:t>” means USD 3,000,000 (three million United States Dollars (“</w:t>
      </w:r>
      <w:r>
        <w:rPr>
          <w:b/>
          <w:i/>
          <w:sz w:val="20"/>
        </w:rPr>
        <w:t>USD</w:t>
      </w:r>
      <w:r>
        <w:rPr>
          <w:sz w:val="20"/>
        </w:rPr>
        <w:t>” or “</w:t>
      </w:r>
      <w:r>
        <w:rPr>
          <w:b/>
          <w:i/>
          <w:sz w:val="20"/>
        </w:rPr>
        <w:t>US$</w:t>
      </w:r>
      <w:r>
        <w:rPr>
          <w:sz w:val="20"/>
        </w:rPr>
        <w:t>”)) or its equivalent in any other currencies.</w:t>
      </w:r>
    </w:p>
    <w:p>
      <w:pPr>
        <w:pStyle w:val="TextBody"/>
        <w:bidi w:val="0"/>
        <w:spacing w:before="0" w:after="0"/>
        <w:ind w:left="1418"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9"/>
        <w:gridCol w:w="458"/>
        <w:gridCol w:w="9688"/>
      </w:tblGrid>
      <w:tr>
        <w:trPr/>
        <w:tc>
          <w:tcPr>
            <w:tcW w:w="5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pPr>
            <w:r>
              <w:rPr/>
              <w:t>(d)</w:t>
            </w:r>
          </w:p>
        </w:tc>
        <w:tc>
          <w:tcPr>
            <w:tcW w:w="9688" w:type="dxa"/>
            <w:tcBorders/>
            <w:vAlign w:val="center"/>
          </w:tcPr>
          <w:p>
            <w:pPr>
              <w:pStyle w:val="TableContents"/>
              <w:bidi w:val="0"/>
              <w:spacing w:before="0" w:after="283"/>
              <w:jc w:val="both"/>
              <w:rPr/>
            </w:pPr>
            <w:r>
              <w:rPr/>
              <w:t>The “</w:t>
            </w:r>
            <w:r>
              <w:rPr>
                <w:b/>
                <w:i/>
              </w:rPr>
              <w:t>Credit Event Upon Merger</w:t>
            </w:r>
            <w:r>
              <w:rPr/>
              <w:t>” provisions of Section 5(b)(v):</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1"/>
        <w:gridCol w:w="854"/>
        <w:gridCol w:w="9210"/>
      </w:tblGrid>
      <w:tr>
        <w:trPr/>
        <w:tc>
          <w:tcPr>
            <w:tcW w:w="14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pPr>
            <w:r>
              <w:rPr/>
              <w:t>(i)</w:t>
            </w:r>
          </w:p>
        </w:tc>
        <w:tc>
          <w:tcPr>
            <w:tcW w:w="9210" w:type="dxa"/>
            <w:tcBorders/>
            <w:vAlign w:val="center"/>
          </w:tcPr>
          <w:p>
            <w:pPr>
              <w:pStyle w:val="TableContents"/>
              <w:bidi w:val="0"/>
              <w:spacing w:before="0" w:after="283"/>
              <w:jc w:val="both"/>
              <w:rPr/>
            </w:pPr>
            <w:r>
              <w:rPr/>
              <w:t>will apply to Party A;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2"/>
        <w:gridCol w:w="1239"/>
        <w:gridCol w:w="8804"/>
      </w:tblGrid>
      <w:tr>
        <w:trPr/>
        <w:tc>
          <w:tcPr>
            <w:tcW w:w="16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pPr>
            <w:r>
              <w:rPr/>
              <w:t>(ii)</w:t>
            </w:r>
          </w:p>
        </w:tc>
        <w:tc>
          <w:tcPr>
            <w:tcW w:w="8804" w:type="dxa"/>
            <w:tcBorders/>
            <w:vAlign w:val="center"/>
          </w:tcPr>
          <w:p>
            <w:pPr>
              <w:pStyle w:val="TableContents"/>
              <w:bidi w:val="0"/>
              <w:spacing w:before="0" w:after="283"/>
              <w:jc w:val="both"/>
              <w:rPr/>
            </w:pPr>
            <w:r>
              <w:rPr/>
              <w:t>will apply to Party B.</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(e)</w:t>
            </w:r>
          </w:p>
        </w:tc>
        <w:tc>
          <w:tcPr>
            <w:tcW w:w="9900" w:type="dxa"/>
            <w:tcBorders/>
            <w:vAlign w:val="center"/>
          </w:tcPr>
          <w:p>
            <w:pPr>
              <w:pStyle w:val="TableContents"/>
              <w:bidi w:val="0"/>
              <w:spacing w:before="0" w:after="283"/>
              <w:jc w:val="both"/>
              <w:rPr/>
            </w:pPr>
            <w:r>
              <w:rPr/>
              <w:t>The “</w:t>
            </w:r>
            <w:r>
              <w:rPr>
                <w:b/>
                <w:i/>
              </w:rPr>
              <w:t>Automatic Early Termination</w:t>
            </w:r>
            <w:r>
              <w:rPr/>
              <w:t>” provision of Section 6(a) (</w:t>
            </w:r>
            <w:r>
              <w:rPr>
                <w:i/>
              </w:rPr>
              <w:t>Right to Terminate Following Event of Default</w:t>
            </w:r>
            <w:r>
              <w:rPr/>
              <w: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4"/>
        <w:gridCol w:w="755"/>
        <w:gridCol w:w="9326"/>
      </w:tblGrid>
      <w:tr>
        <w:trPr/>
        <w:tc>
          <w:tcPr>
            <w:tcW w:w="12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pPr>
            <w:r>
              <w:rPr/>
              <w:t>(i)</w:t>
            </w:r>
          </w:p>
        </w:tc>
        <w:tc>
          <w:tcPr>
            <w:tcW w:w="9326" w:type="dxa"/>
            <w:tcBorders/>
            <w:vAlign w:val="center"/>
          </w:tcPr>
          <w:p>
            <w:pPr>
              <w:pStyle w:val="TableContents"/>
              <w:bidi w:val="0"/>
              <w:spacing w:before="0" w:after="283"/>
              <w:jc w:val="both"/>
              <w:rPr/>
            </w:pPr>
            <w:r>
              <w:rPr/>
              <w:t>will not apply to Party A;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1"/>
        <w:gridCol w:w="1076"/>
        <w:gridCol w:w="8988"/>
      </w:tblGrid>
      <w:tr>
        <w:trPr/>
        <w:tc>
          <w:tcPr>
            <w:tcW w:w="14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pPr>
            <w:r>
              <w:rPr/>
              <w:t>(ii)</w:t>
            </w:r>
          </w:p>
        </w:tc>
        <w:tc>
          <w:tcPr>
            <w:tcW w:w="8988" w:type="dxa"/>
            <w:tcBorders/>
            <w:vAlign w:val="center"/>
          </w:tcPr>
          <w:p>
            <w:pPr>
              <w:pStyle w:val="TableContents"/>
              <w:bidi w:val="0"/>
              <w:spacing w:before="0" w:after="283"/>
              <w:jc w:val="both"/>
              <w:rPr/>
            </w:pPr>
            <w:r>
              <w:rPr/>
              <w:t>will not apply to Party B;</w:t>
            </w:r>
          </w:p>
        </w:tc>
      </w:tr>
    </w:tbl>
    <w:p>
      <w:pPr>
        <w:pStyle w:val="TextBody"/>
        <w:bidi w:val="0"/>
        <w:spacing w:before="0" w:after="0"/>
        <w:jc w:val="left"/>
        <w:rPr/>
      </w:pPr>
      <w:r>
        <w:rPr/>
        <w:t> </w:t>
      </w:r>
    </w:p>
    <w:p>
      <w:pPr>
        <w:pStyle w:val="TextBody"/>
        <w:bidi w:val="0"/>
        <w:spacing w:before="0" w:after="0"/>
        <w:ind w:left="720" w:right="0" w:hanging="0"/>
        <w:jc w:val="both"/>
        <w:rPr>
          <w:sz w:val="20"/>
        </w:rPr>
      </w:pPr>
      <w:r>
        <w:rPr>
          <w:i/>
          <w:sz w:val="20"/>
        </w:rPr>
        <w:t>provided, however,</w:t>
      </w:r>
      <w:r>
        <w:rPr>
          <w:sz w:val="20"/>
        </w:rPr>
        <w:t xml:space="preserve"> that, with respect to a party, where the Event of Default specified in Section 5(a)(vii)(1), (3), (4), (5), (6) or, to the extent analogous thereto, (8) is governed by a system of law which does not permit termination to take place after the occurrence of the relevant Event of Default, then the Automatic Early Termination provision of Section 6(a) will apply to such party.</w:t>
      </w:r>
    </w:p>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6"/>
        <w:gridCol w:w="624"/>
        <w:gridCol w:w="9485"/>
      </w:tblGrid>
      <w:tr>
        <w:trPr/>
        <w:tc>
          <w:tcPr>
            <w:tcW w:w="9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pPr>
            <w:r>
              <w:rPr/>
              <w:t>(f)</w:t>
            </w:r>
          </w:p>
        </w:tc>
        <w:tc>
          <w:tcPr>
            <w:tcW w:w="9485" w:type="dxa"/>
            <w:tcBorders/>
            <w:vAlign w:val="center"/>
          </w:tcPr>
          <w:p>
            <w:pPr>
              <w:pStyle w:val="TableContents"/>
              <w:bidi w:val="0"/>
              <w:spacing w:before="0" w:after="283"/>
              <w:jc w:val="both"/>
              <w:rPr/>
            </w:pPr>
            <w:r>
              <w:rPr/>
              <w:t>“</w:t>
            </w:r>
            <w:r>
              <w:rPr>
                <w:b/>
                <w:i/>
              </w:rPr>
              <w:t>Termination Currency</w:t>
            </w:r>
            <w:r>
              <w:rPr/>
              <w:t>” means USD.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(g)</w:t>
            </w:r>
          </w:p>
        </w:tc>
        <w:tc>
          <w:tcPr>
            <w:tcW w:w="9916" w:type="dxa"/>
            <w:tcBorders/>
            <w:vAlign w:val="center"/>
          </w:tcPr>
          <w:p>
            <w:pPr>
              <w:pStyle w:val="TableContents"/>
              <w:bidi w:val="0"/>
              <w:spacing w:before="0" w:after="283"/>
              <w:jc w:val="both"/>
              <w:rPr/>
            </w:pPr>
            <w:r>
              <w:rPr>
                <w:b/>
                <w:i/>
              </w:rPr>
              <w:t xml:space="preserve">Additional Termination Event </w:t>
            </w:r>
            <w:r>
              <w:rPr/>
              <w:t>will apply. Each of the following will constitute an Additional Termination Event for purposes of Section 5(b)(vi) (</w:t>
            </w:r>
            <w:r>
              <w:rPr>
                <w:i/>
              </w:rPr>
              <w:t>Additional Termination Event</w:t>
            </w:r>
            <w:r>
              <w:rPr/>
              <w:t>) of this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
        <w:gridCol w:w="254"/>
        <w:gridCol w:w="9910"/>
      </w:tblGrid>
      <w:tr>
        <w:trPr/>
        <w:tc>
          <w:tcPr>
            <w:tcW w:w="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(i)</w:t>
            </w:r>
          </w:p>
        </w:tc>
        <w:tc>
          <w:tcPr>
            <w:tcW w:w="9910" w:type="dxa"/>
            <w:tcBorders/>
            <w:vAlign w:val="center"/>
          </w:tcPr>
          <w:p>
            <w:pPr>
              <w:pStyle w:val="TableContents"/>
              <w:bidi w:val="0"/>
              <w:spacing w:before="0" w:after="283"/>
              <w:jc w:val="both"/>
              <w:rPr/>
            </w:pPr>
            <w:r>
              <w:rPr>
                <w:b/>
                <w:i/>
              </w:rPr>
              <w:t xml:space="preserve">Adverse Government Action. </w:t>
            </w:r>
            <w:r>
              <w:rPr/>
              <w:t>A party or any Credit Support Provider of a party, as applicable: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3"/>
        <w:gridCol w:w="565"/>
        <w:gridCol w:w="9567"/>
      </w:tblGrid>
      <w:tr>
        <w:trPr/>
        <w:tc>
          <w:tcPr>
            <w:tcW w:w="7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pPr>
            <w:r>
              <w:rPr/>
              <w:t>(1)</w:t>
            </w:r>
          </w:p>
        </w:tc>
        <w:tc>
          <w:tcPr>
            <w:tcW w:w="9567" w:type="dxa"/>
            <w:tcBorders/>
            <w:vAlign w:val="center"/>
          </w:tcPr>
          <w:p>
            <w:pPr>
              <w:pStyle w:val="TableContents"/>
              <w:bidi w:val="0"/>
              <w:spacing w:before="0" w:after="283"/>
              <w:jc w:val="both"/>
              <w:rPr/>
            </w:pPr>
            <w:r>
              <w:rPr/>
              <w:t>either (x) is indicted for or (y) is convicted of either: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4"/>
        <w:gridCol w:w="336"/>
        <w:gridCol w:w="9795"/>
      </w:tblGrid>
      <w:tr>
        <w:trPr/>
        <w:tc>
          <w:tcPr>
            <w:tcW w:w="74"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(A)</w:t>
            </w:r>
          </w:p>
        </w:tc>
        <w:tc>
          <w:tcPr>
            <w:tcW w:w="9795" w:type="dxa"/>
            <w:tcBorders/>
            <w:vAlign w:val="center"/>
          </w:tcPr>
          <w:p>
            <w:pPr>
              <w:pStyle w:val="TableContents"/>
              <w:bidi w:val="0"/>
              <w:spacing w:before="0" w:after="283"/>
              <w:jc w:val="both"/>
              <w:rPr/>
            </w:pPr>
            <w:r>
              <w:rPr/>
              <w:t>any felony; or</w:t>
            </w:r>
          </w:p>
        </w:tc>
      </w:tr>
      <w:tr>
        <w:trPr/>
        <w:tc>
          <w:tcPr>
            <w:tcW w:w="74"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9795"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pPr>
            <w:r>
              <w:rPr/>
              <w:t>(B)</w:t>
            </w:r>
          </w:p>
        </w:tc>
        <w:tc>
          <w:tcPr>
            <w:tcW w:w="9795" w:type="dxa"/>
            <w:tcBorders/>
            <w:vAlign w:val="center"/>
          </w:tcPr>
          <w:p>
            <w:pPr>
              <w:pStyle w:val="TableContents"/>
              <w:bidi w:val="0"/>
              <w:spacing w:before="0" w:after="283"/>
              <w:jc w:val="both"/>
              <w:rPr/>
            </w:pPr>
            <w:r>
              <w:rPr/>
              <w:t>any other crime relating to securities, investment management or any Crypto Activities, or involving fraud or breach of trust;</w:t>
            </w:r>
          </w:p>
        </w:tc>
      </w:tr>
    </w:tbl>
    <w:p>
      <w:pPr>
        <w:pStyle w:val="TextBody"/>
        <w:bidi w:val="0"/>
        <w:spacing w:before="0" w:after="0"/>
        <w:jc w:val="left"/>
        <w:rPr/>
      </w:pPr>
      <w:r>
        <w:rPr/>
        <w:t> </w:t>
      </w:r>
    </w:p>
    <w:p>
      <w:pPr>
        <w:pStyle w:val="TextBody"/>
        <w:bidi w:val="0"/>
        <w:spacing w:before="0" w:after="0"/>
        <w:jc w:val="center"/>
        <w:rPr>
          <w:sz w:val="20"/>
          <w:bdr w:val="single" w:sz="32" w:space="1" w:color="000000"/>
        </w:rPr>
      </w:pPr>
      <w:r>
        <w:rPr>
          <w:sz w:val="20"/>
          <w:bdr w:val="single" w:sz="32" w:space="1" w:color="000000"/>
        </w:rPr>
        <w:t>2</w:t>
      </w:r>
    </w:p>
    <w:p>
      <w:pPr>
        <w:pStyle w:val="TextBody"/>
        <w:bidi w:val="0"/>
        <w:spacing w:before="0" w:after="0"/>
        <w:ind w:left="0" w:right="0" w:hanging="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
        <w:gridCol w:w="336"/>
        <w:gridCol w:w="9826"/>
      </w:tblGrid>
      <w:tr>
        <w:trPr/>
        <w:tc>
          <w:tcPr>
            <w:tcW w:w="4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pPr>
            <w:r>
              <w:rPr/>
              <w:t>(2)</w:t>
            </w:r>
          </w:p>
        </w:tc>
        <w:tc>
          <w:tcPr>
            <w:tcW w:w="9826" w:type="dxa"/>
            <w:tcBorders/>
            <w:vAlign w:val="center"/>
          </w:tcPr>
          <w:p>
            <w:pPr>
              <w:pStyle w:val="TableContents"/>
              <w:bidi w:val="0"/>
              <w:spacing w:before="0" w:after="283"/>
              <w:jc w:val="both"/>
              <w:rPr/>
            </w:pPr>
            <w:r>
              <w:rPr/>
              <w:t>becomes a Sanctioned Person (as defined in Part 5(m) (Additional Definitions) hereof); 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(3)</w:t>
            </w:r>
          </w:p>
        </w:tc>
        <w:tc>
          <w:tcPr>
            <w:tcW w:w="9914" w:type="dxa"/>
            <w:tcBorders/>
            <w:vAlign w:val="center"/>
          </w:tcPr>
          <w:p>
            <w:pPr>
              <w:pStyle w:val="TableContents"/>
              <w:bidi w:val="0"/>
              <w:spacing w:before="0" w:after="283"/>
              <w:jc w:val="both"/>
              <w:rPr/>
            </w:pPr>
            <w:r>
              <w:rPr/>
              <w:t>is subject to a final, non-appealable order, judgment, or decree by a Governmental Authority (as defined in Part 5(m) (Additional Definitions) hereof) that results in any of the following:</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(A)</w:t>
            </w:r>
          </w:p>
        </w:tc>
        <w:tc>
          <w:tcPr>
            <w:tcW w:w="9848" w:type="dxa"/>
            <w:tcBorders/>
            <w:vAlign w:val="center"/>
          </w:tcPr>
          <w:p>
            <w:pPr>
              <w:pStyle w:val="TableContents"/>
              <w:bidi w:val="0"/>
              <w:spacing w:before="0" w:after="283"/>
              <w:jc w:val="both"/>
              <w:rPr/>
            </w:pPr>
            <w:r>
              <w:rPr/>
              <w:t>the suspension or revocation of any license, registration, or authorization material to its ability to perform its obligations under this Agreement or any Transaction; 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9"/>
        <w:gridCol w:w="344"/>
        <w:gridCol w:w="9822"/>
      </w:tblGrid>
      <w:tr>
        <w:trPr/>
        <w:tc>
          <w:tcPr>
            <w:tcW w:w="3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(B)</w:t>
            </w:r>
          </w:p>
        </w:tc>
        <w:tc>
          <w:tcPr>
            <w:tcW w:w="9822" w:type="dxa"/>
            <w:tcBorders/>
            <w:vAlign w:val="center"/>
          </w:tcPr>
          <w:p>
            <w:pPr>
              <w:pStyle w:val="TableContents"/>
              <w:bidi w:val="0"/>
              <w:spacing w:before="0" w:after="283"/>
              <w:jc w:val="both"/>
              <w:rPr/>
            </w:pPr>
            <w:r>
              <w:rPr/>
              <w:t>the imposition of a fine or monetary penalty in an amount exceeding US$1,000,000 or its equivalent.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(ii)</w:t>
            </w:r>
          </w:p>
        </w:tc>
        <w:tc>
          <w:tcPr>
            <w:tcW w:w="9945" w:type="dxa"/>
            <w:tcBorders/>
            <w:vAlign w:val="center"/>
          </w:tcPr>
          <w:p>
            <w:pPr>
              <w:pStyle w:val="TableContents"/>
              <w:bidi w:val="0"/>
              <w:spacing w:before="0" w:after="283"/>
              <w:jc w:val="both"/>
              <w:rPr/>
            </w:pPr>
            <w:r>
              <w:rPr>
                <w:b/>
                <w:i/>
              </w:rPr>
              <w:t>Change in Law</w:t>
            </w:r>
            <w:r>
              <w:rPr/>
              <w:t>. After a Transaction is entered into, due to (1) the adoption of or any change in applicable law or regulation or interpretation thereof (including, without limitation, any tax law); or (2) the promulgation of or any change in the interpretation by any Governmental Authority with competent jurisdiction of any applicable law or regulation (including any action taken by a taxing authority), a party determines in good faith that either (x) such Transaction or the performance thereunder has become illegal; or (y) it will incur a materially increased cost in performing its obligations under any Transaction (including, without limitation, due to the imposition of increased regulatory requirements, any increase in tax liability, decrease in tax benefit or other adverse effect on its tax position).</w:t>
            </w:r>
          </w:p>
        </w:tc>
      </w:tr>
    </w:tbl>
    <w:p>
      <w:pPr>
        <w:pStyle w:val="TextBody"/>
        <w:bidi w:val="0"/>
        <w:spacing w:before="0" w:after="0"/>
        <w:jc w:val="left"/>
        <w:rPr/>
      </w:pPr>
      <w:r>
        <w:rPr/>
        <w:t> </w:t>
      </w:r>
    </w:p>
    <w:p>
      <w:pPr>
        <w:pStyle w:val="TextBody"/>
        <w:bidi w:val="0"/>
        <w:spacing w:before="0" w:after="0"/>
        <w:ind w:left="720" w:right="0" w:hanging="0"/>
        <w:jc w:val="both"/>
        <w:rPr>
          <w:sz w:val="20"/>
        </w:rPr>
      </w:pPr>
      <w:r>
        <w:rPr>
          <w:sz w:val="20"/>
        </w:rPr>
        <w:t>For purposes of this Part 1(g):</w:t>
      </w:r>
    </w:p>
    <w:p>
      <w:pPr>
        <w:pStyle w:val="TextBody"/>
        <w:bidi w:val="0"/>
        <w:spacing w:before="0" w:after="0"/>
        <w:ind w:left="720" w:right="0" w:hanging="0"/>
        <w:jc w:val="both"/>
        <w:rPr/>
      </w:pPr>
      <w:r>
        <w:rPr/>
        <w:t> </w:t>
      </w:r>
    </w:p>
    <w:p>
      <w:pPr>
        <w:pStyle w:val="TextBody"/>
        <w:bidi w:val="0"/>
        <w:spacing w:before="0" w:after="0"/>
        <w:ind w:left="1418" w:right="0" w:hanging="0"/>
        <w:jc w:val="both"/>
        <w:rPr>
          <w:sz w:val="20"/>
        </w:rPr>
      </w:pPr>
      <w:r>
        <w:rPr>
          <w:sz w:val="20"/>
        </w:rPr>
        <w:t>(x)       with respect to the Additional Termination Event set forth in Part 1(g)(i) (</w:t>
      </w:r>
      <w:r>
        <w:rPr>
          <w:i/>
          <w:sz w:val="20"/>
        </w:rPr>
        <w:t>Adverse Government Action</w:t>
      </w:r>
      <w:r>
        <w:rPr>
          <w:sz w:val="20"/>
        </w:rPr>
        <w:t>) above, the party with respect to which the event occurred shall be the sole Affected Party and all Transactions shall be Affected Transactions; and</w:t>
      </w:r>
    </w:p>
    <w:p>
      <w:pPr>
        <w:pStyle w:val="TextBody"/>
        <w:bidi w:val="0"/>
        <w:spacing w:before="0" w:after="0"/>
        <w:ind w:left="1418" w:right="0" w:hanging="0"/>
        <w:jc w:val="both"/>
        <w:rPr/>
      </w:pPr>
      <w:r>
        <w:rPr/>
        <w:t> </w:t>
      </w:r>
    </w:p>
    <w:p>
      <w:pPr>
        <w:pStyle w:val="TextBody"/>
        <w:bidi w:val="0"/>
        <w:spacing w:before="0" w:after="0"/>
        <w:ind w:left="1418" w:right="0" w:hanging="0"/>
        <w:jc w:val="both"/>
        <w:rPr>
          <w:sz w:val="20"/>
        </w:rPr>
      </w:pPr>
      <w:r>
        <w:rPr>
          <w:sz w:val="20"/>
        </w:rPr>
        <w:t>(y)       with respect to the Additional Termination Event set forth in Part 1(g)(ii) (</w:t>
      </w:r>
      <w:r>
        <w:rPr>
          <w:i/>
          <w:sz w:val="20"/>
        </w:rPr>
        <w:t>Change in Law</w:t>
      </w:r>
      <w:r>
        <w:rPr>
          <w:sz w:val="20"/>
        </w:rPr>
        <w:t>) above, Party A and Party B shall each be an Affected Party and only affected Crypto Transactions shall be Affected Transactions.</w:t>
      </w:r>
    </w:p>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52"/>
        <w:gridCol w:w="1890"/>
        <w:gridCol w:w="8163"/>
      </w:tblGrid>
      <w:tr>
        <w:trPr/>
        <w:tc>
          <w:tcPr>
            <w:tcW w:w="152"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b/>
              </w:rPr>
            </w:pPr>
            <w:r>
              <w:rPr>
                <w:b/>
              </w:rPr>
              <w:t>Part</w:t>
            </w:r>
          </w:p>
        </w:tc>
        <w:tc>
          <w:tcPr>
            <w:tcW w:w="8163" w:type="dxa"/>
            <w:tcBorders/>
            <w:vAlign w:val="center"/>
          </w:tcPr>
          <w:p>
            <w:pPr>
              <w:pStyle w:val="TableContents"/>
              <w:bidi w:val="0"/>
              <w:spacing w:before="0" w:after="283"/>
              <w:jc w:val="both"/>
              <w:rPr>
                <w:b/>
              </w:rPr>
            </w:pPr>
            <w:r>
              <w:rPr>
                <w:b/>
              </w:rPr>
              <w:t>2.    Tax Provisions.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(a)</w:t>
            </w:r>
          </w:p>
        </w:tc>
        <w:tc>
          <w:tcPr>
            <w:tcW w:w="9926" w:type="dxa"/>
            <w:tcBorders/>
            <w:vAlign w:val="center"/>
          </w:tcPr>
          <w:p>
            <w:pPr>
              <w:pStyle w:val="TableContents"/>
              <w:bidi w:val="0"/>
              <w:spacing w:before="0" w:after="283"/>
              <w:jc w:val="both"/>
              <w:rPr/>
            </w:pPr>
            <w:r>
              <w:rPr>
                <w:b/>
                <w:i/>
              </w:rPr>
              <w:t>Payer Tax Representations.</w:t>
            </w:r>
            <w:r>
              <w:rPr/>
              <w:t xml:space="preserve"> For the purpose of Section 3(e) (</w:t>
            </w:r>
            <w:r>
              <w:rPr>
                <w:i/>
              </w:rPr>
              <w:t>Payer Tax Representation</w:t>
            </w:r>
            <w:r>
              <w:rPr/>
              <w:t>) of this Agreement, each of Party A and Party B makes the following representation:</w:t>
            </w:r>
          </w:p>
        </w:tc>
      </w:tr>
    </w:tbl>
    <w:p>
      <w:pPr>
        <w:pStyle w:val="TextBody"/>
        <w:bidi w:val="0"/>
        <w:spacing w:before="0" w:after="0"/>
        <w:jc w:val="left"/>
        <w:rPr/>
      </w:pPr>
      <w:r>
        <w:rPr/>
        <w:t> </w:t>
      </w:r>
    </w:p>
    <w:p>
      <w:pPr>
        <w:pStyle w:val="TextBody"/>
        <w:bidi w:val="0"/>
        <w:spacing w:before="0" w:after="0"/>
        <w:ind w:left="720" w:right="0" w:hanging="0"/>
        <w:jc w:val="both"/>
        <w:rPr>
          <w:sz w:val="20"/>
        </w:rPr>
      </w:pPr>
      <w:r>
        <w:rPr>
          <w:sz w:val="20"/>
        </w:rPr>
        <w:t>It is not required by any applicable law, as modified by the practice of any relevant governmental revenue authority, of any Relevant Jurisdiction to make any deduction or withholding for or on account of any Tax from any payment (other than interest under Section 9(h) of this Agreement) to be made by it to the other party under this Agreement. In making this representation, it may rely on (i) the accuracy of any representations made by the other party pursuant to Section 3(f) of this Agreement, (ii) the satisfaction of the agreement contained in Section 4(a)(i) or 4(a)(iii) of this Agreement and the accuracy and effectiveness of any document provided by the other party pursuant to Section 4(a)(i) or 4(a)(iii) of this Agreement and (iii) the satisfaction of the agreement of the other party contained in Section 4(d) of this Agreement, except that it will not be a breach of this representation where reliance is placed on clause (ii) above and the other party does not deliver a form or document under Section 4(a)(iii) by reason of material prejudice to its legal or commercial position.</w:t>
      </w:r>
    </w:p>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9"/>
        <w:gridCol w:w="376"/>
        <w:gridCol w:w="9780"/>
      </w:tblGrid>
      <w:tr>
        <w:trPr/>
        <w:tc>
          <w:tcPr>
            <w:tcW w:w="4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pPr>
            <w:r>
              <w:rPr/>
              <w:t>(b)</w:t>
            </w:r>
          </w:p>
        </w:tc>
        <w:tc>
          <w:tcPr>
            <w:tcW w:w="9780" w:type="dxa"/>
            <w:tcBorders/>
            <w:vAlign w:val="center"/>
          </w:tcPr>
          <w:p>
            <w:pPr>
              <w:pStyle w:val="TableContents"/>
              <w:bidi w:val="0"/>
              <w:spacing w:before="0" w:after="283"/>
              <w:jc w:val="both"/>
              <w:rPr/>
            </w:pPr>
            <w:r>
              <w:rPr>
                <w:b/>
                <w:i/>
              </w:rPr>
              <w:t>Payee Tax Representations.</w:t>
            </w:r>
            <w:r>
              <w:rPr/>
              <w:t xml:space="preserve"> For the purpose of Section 3(f) of this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0"/>
        <w:gridCol w:w="731"/>
        <w:gridCol w:w="9354"/>
      </w:tblGrid>
      <w:tr>
        <w:trPr/>
        <w:tc>
          <w:tcPr>
            <w:tcW w:w="12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pPr>
            <w:r>
              <w:rPr/>
              <w:t>(i)</w:t>
            </w:r>
          </w:p>
        </w:tc>
        <w:tc>
          <w:tcPr>
            <w:tcW w:w="9354" w:type="dxa"/>
            <w:tcBorders/>
            <w:vAlign w:val="center"/>
          </w:tcPr>
          <w:p>
            <w:pPr>
              <w:pStyle w:val="TableContents"/>
              <w:bidi w:val="0"/>
              <w:spacing w:before="0" w:after="283"/>
              <w:jc w:val="both"/>
              <w:rPr/>
            </w:pPr>
            <w:r>
              <w:rPr/>
              <w:t>Party A hereby represents that: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
        <w:gridCol w:w="352"/>
        <w:gridCol w:w="9807"/>
      </w:tblGrid>
      <w:tr>
        <w:trPr/>
        <w:tc>
          <w:tcPr>
            <w:tcW w:w="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pPr>
            <w:r>
              <w:rPr/>
              <w:t>(1)</w:t>
            </w:r>
          </w:p>
        </w:tc>
        <w:tc>
          <w:tcPr>
            <w:tcW w:w="9807" w:type="dxa"/>
            <w:tcBorders/>
            <w:vAlign w:val="center"/>
          </w:tcPr>
          <w:p>
            <w:pPr>
              <w:pStyle w:val="TableContents"/>
              <w:bidi w:val="0"/>
              <w:spacing w:before="0" w:after="283"/>
              <w:jc w:val="both"/>
              <w:rPr/>
            </w:pPr>
            <w:r>
              <w:rPr/>
              <w:t>It is a private limited company organized under the laws of the British Virgin Islands.</w:t>
            </w:r>
          </w:p>
        </w:tc>
      </w:tr>
    </w:tbl>
    <w:p>
      <w:pPr>
        <w:pStyle w:val="TextBody"/>
        <w:bidi w:val="0"/>
        <w:spacing w:before="0" w:after="0"/>
        <w:jc w:val="left"/>
        <w:rPr/>
      </w:pPr>
      <w:r>
        <w:rPr/>
        <w:t> </w:t>
      </w:r>
    </w:p>
    <w:p>
      <w:pPr>
        <w:pStyle w:val="TextBody"/>
        <w:bidi w:val="0"/>
        <w:spacing w:before="0" w:after="0"/>
        <w:jc w:val="center"/>
        <w:rPr>
          <w:sz w:val="20"/>
          <w:bdr w:val="single" w:sz="32" w:space="1" w:color="000000"/>
        </w:rPr>
      </w:pPr>
      <w:r>
        <w:rPr>
          <w:sz w:val="20"/>
          <w:bdr w:val="single" w:sz="32" w:space="1" w:color="000000"/>
        </w:rPr>
        <w:t>3</w:t>
      </w:r>
    </w:p>
    <w:p>
      <w:pPr>
        <w:pStyle w:val="TextBody"/>
        <w:bidi w:val="0"/>
        <w:spacing w:before="0" w:after="0"/>
        <w:ind w:left="0" w:right="0" w:hanging="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(2)</w:t>
            </w:r>
          </w:p>
        </w:tc>
        <w:tc>
          <w:tcPr>
            <w:tcW w:w="9912" w:type="dxa"/>
            <w:tcBorders/>
            <w:vAlign w:val="center"/>
          </w:tcPr>
          <w:p>
            <w:pPr>
              <w:pStyle w:val="TableContents"/>
              <w:bidi w:val="0"/>
              <w:spacing w:before="0" w:after="283"/>
              <w:jc w:val="both"/>
              <w:rPr/>
            </w:pPr>
            <w:r>
              <w:rPr/>
              <w:t>It is a “non-U.S. branch of a foreign person” (as that term is used in section 1.1441-4(a)(3)(ii) of United States Treasury Regulations) for United States federal income tax purposes.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8"/>
        <w:gridCol w:w="909"/>
        <w:gridCol w:w="9178"/>
      </w:tblGrid>
      <w:tr>
        <w:trPr/>
        <w:tc>
          <w:tcPr>
            <w:tcW w:w="118"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pPr>
            <w:r>
              <w:rPr/>
              <w:t>(ii)</w:t>
            </w:r>
          </w:p>
        </w:tc>
        <w:tc>
          <w:tcPr>
            <w:tcW w:w="9178" w:type="dxa"/>
            <w:tcBorders/>
            <w:vAlign w:val="center"/>
          </w:tcPr>
          <w:p>
            <w:pPr>
              <w:pStyle w:val="TableContents"/>
              <w:bidi w:val="0"/>
              <w:spacing w:before="0" w:after="283"/>
              <w:jc w:val="both"/>
              <w:rPr/>
            </w:pPr>
            <w:r>
              <w:rPr/>
              <w:t>Party B hereby represents that: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(1)</w:t>
            </w:r>
          </w:p>
        </w:tc>
        <w:tc>
          <w:tcPr>
            <w:tcW w:w="9883" w:type="dxa"/>
            <w:tcBorders/>
            <w:vAlign w:val="center"/>
          </w:tcPr>
          <w:p>
            <w:pPr>
              <w:pStyle w:val="TableContents"/>
              <w:bidi w:val="0"/>
              <w:spacing w:before="0" w:after="283"/>
              <w:jc w:val="both"/>
              <w:rPr/>
            </w:pPr>
            <w:r>
              <w:rPr/>
              <w:t>It is a public limited liability company (</w:t>
            </w:r>
            <w:r>
              <w:rPr>
                <w:i/>
              </w:rPr>
              <w:t>naamloze vennootschap</w:t>
            </w:r>
            <w:r>
              <w:rPr/>
              <w:t>) organized under the laws of the Netherlands.</w:t>
            </w:r>
          </w:p>
        </w:tc>
      </w:tr>
    </w:tbl>
    <w:p>
      <w:pPr>
        <w:pStyle w:val="TextBody"/>
        <w:bidi w:val="0"/>
        <w:spacing w:before="0" w:after="0"/>
        <w:ind w:left="216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(2)</w:t>
            </w:r>
          </w:p>
        </w:tc>
        <w:tc>
          <w:tcPr>
            <w:tcW w:w="9912" w:type="dxa"/>
            <w:tcBorders/>
            <w:vAlign w:val="center"/>
          </w:tcPr>
          <w:p>
            <w:pPr>
              <w:pStyle w:val="TableContents"/>
              <w:bidi w:val="0"/>
              <w:spacing w:before="0" w:after="283"/>
              <w:jc w:val="both"/>
              <w:rPr/>
            </w:pPr>
            <w:r>
              <w:rPr/>
              <w:t>It is a “non-U.S. branch of a foreign person” (as that term is used in section 1.1441-4(a)(3)(ii) of United States Treasury Regulations) for United States federal income tax purposes.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(c)</w:t>
            </w:r>
          </w:p>
        </w:tc>
        <w:tc>
          <w:tcPr>
            <w:tcW w:w="9961" w:type="dxa"/>
            <w:tcBorders/>
            <w:vAlign w:val="center"/>
          </w:tcPr>
          <w:p>
            <w:pPr>
              <w:pStyle w:val="TableContents"/>
              <w:bidi w:val="0"/>
              <w:spacing w:before="0" w:after="283"/>
              <w:jc w:val="both"/>
              <w:rPr/>
            </w:pPr>
            <w:r>
              <w:rPr>
                <w:b/>
                <w:i/>
              </w:rPr>
              <w:t>Certain Withholding Taxes.</w:t>
            </w:r>
            <w:r>
              <w:rPr/>
              <w:t xml:space="preserve"> “</w:t>
            </w:r>
            <w:r>
              <w:rPr>
                <w:b/>
                <w:i/>
              </w:rPr>
              <w:t>Tax</w:t>
            </w:r>
            <w:r>
              <w:rPr/>
              <w:t>” as used in Part 2(a) (</w:t>
            </w:r>
            <w:r>
              <w:rPr>
                <w:i/>
              </w:rPr>
              <w:t>Payer Tax Representations</w:t>
            </w:r>
            <w:r>
              <w:rPr/>
              <w:t>) of this Schedule and “</w:t>
            </w:r>
            <w:r>
              <w:rPr>
                <w:b/>
                <w:i/>
              </w:rPr>
              <w:t>Indemnifiable Tax</w:t>
            </w:r>
            <w:r>
              <w:rPr/>
              <w:t>” as defined in Section 14 of this Agreement shall not include any withholding tax imposed or collected pursuant to Sections 1471 through 1474 of the Code (as defined in Part 5(m) (</w:t>
            </w:r>
            <w:r>
              <w:rPr>
                <w:i/>
              </w:rPr>
              <w:t>Additional Definitions</w:t>
            </w:r>
            <w:r>
              <w:rPr/>
              <w:t>) hereof),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b/>
                <w:i/>
              </w:rPr>
              <w:t>FATCA Withholding Tax</w:t>
            </w:r>
            <w:r>
              <w:rPr/>
              <w:t>”). For the avoidance of doubt, a FATCA Withholding Tax is a Tax the deduction or withholding of which is required by applicable law for the purposes of Section 2(d) (</w:t>
            </w:r>
            <w:r>
              <w:rPr>
                <w:i/>
              </w:rPr>
              <w:t>Deduction or Withholding for Tax</w:t>
            </w:r>
            <w:r>
              <w:rPr/>
              <w:t>) of this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(d)</w:t>
            </w:r>
          </w:p>
        </w:tc>
        <w:tc>
          <w:tcPr>
            <w:tcW w:w="9946" w:type="dxa"/>
            <w:tcBorders/>
            <w:vAlign w:val="center"/>
          </w:tcPr>
          <w:p>
            <w:pPr>
              <w:pStyle w:val="TableContents"/>
              <w:bidi w:val="0"/>
              <w:spacing w:before="0" w:after="283"/>
              <w:jc w:val="both"/>
              <w:rPr/>
            </w:pPr>
            <w:r>
              <w:rPr>
                <w:b/>
                <w:i/>
              </w:rPr>
              <w:t xml:space="preserve">Waiver of Confidentiality for US Tax Treatment. </w:t>
            </w:r>
            <w:r>
              <w:rPr/>
              <w:t>Notwithstanding anything to the contrary in this Agreement, Party A and Party B (and each employee, representative, or other agent of Party A or Party B) may each disclose to any and all persons, without limitation of any kind, the U.S. tax treatment and U.S. tax structure of the Transaction and all materials of any kind (including opinions or other tax analyses) that are provided to them relating to such US tax treatment and US tax structure (as those terms are used in Treasury Regulations under Sections 6011, 6111 and 6112 of the Code), other than any information for which nondisclosure is reasonably necessary in order to comply with applicable securities laws. To the extent not inconsistent with the previous sentence, Party A and Party B will each keep confidential (except as required by law) all information unless the other party has consented in writing to the disclosure of such information.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8"/>
        <w:gridCol w:w="1090"/>
        <w:gridCol w:w="9027"/>
      </w:tblGrid>
      <w:tr>
        <w:trPr/>
        <w:tc>
          <w:tcPr>
            <w:tcW w:w="8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b/>
              </w:rPr>
            </w:pPr>
            <w:r>
              <w:rPr>
                <w:b/>
              </w:rPr>
              <w:t>Part</w:t>
            </w:r>
          </w:p>
        </w:tc>
        <w:tc>
          <w:tcPr>
            <w:tcW w:w="9027" w:type="dxa"/>
            <w:tcBorders/>
            <w:vAlign w:val="center"/>
          </w:tcPr>
          <w:p>
            <w:pPr>
              <w:pStyle w:val="TableContents"/>
              <w:bidi w:val="0"/>
              <w:spacing w:before="0" w:after="283"/>
              <w:jc w:val="both"/>
              <w:rPr>
                <w:b/>
              </w:rPr>
            </w:pPr>
            <w:r>
              <w:rPr>
                <w:b/>
              </w:rPr>
              <w:t>3.    Agreement to Deliver Documents.</w:t>
            </w:r>
          </w:p>
        </w:tc>
      </w:tr>
    </w:tbl>
    <w:p>
      <w:pPr>
        <w:pStyle w:val="TextBody"/>
        <w:bidi w:val="0"/>
        <w:spacing w:before="0" w:after="0"/>
        <w:jc w:val="left"/>
        <w:rPr/>
      </w:pPr>
      <w:r>
        <w:rPr/>
        <w:t> </w:t>
      </w:r>
    </w:p>
    <w:p>
      <w:pPr>
        <w:pStyle w:val="TextBody"/>
        <w:bidi w:val="0"/>
        <w:spacing w:before="0" w:after="0"/>
        <w:ind w:left="0" w:right="0" w:hanging="0"/>
        <w:jc w:val="both"/>
        <w:rPr>
          <w:sz w:val="20"/>
        </w:rPr>
      </w:pPr>
      <w:r>
        <w:rPr>
          <w:sz w:val="20"/>
        </w:rPr>
        <w:t>For the purpose of Sections 4(a)(i) and 4(a)(ii) of this Agreement, each party agrees to deliver the following documents, as applicable:</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8"/>
        <w:gridCol w:w="497"/>
        <w:gridCol w:w="9640"/>
      </w:tblGrid>
      <w:tr>
        <w:trPr/>
        <w:tc>
          <w:tcPr>
            <w:tcW w:w="6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pPr>
            <w:r>
              <w:rPr/>
              <w:t>(a)</w:t>
            </w:r>
          </w:p>
        </w:tc>
        <w:tc>
          <w:tcPr>
            <w:tcW w:w="9640" w:type="dxa"/>
            <w:tcBorders/>
            <w:vAlign w:val="center"/>
          </w:tcPr>
          <w:p>
            <w:pPr>
              <w:pStyle w:val="TableContents"/>
              <w:bidi w:val="0"/>
              <w:spacing w:before="0" w:after="283"/>
              <w:jc w:val="both"/>
              <w:rPr/>
            </w:pPr>
            <w:r>
              <w:rPr/>
              <w:t>Tax forms, documents or certificates to be delivered are: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28" w:type="dxa"/>
          <w:right w:w="28" w:type="dxa"/>
        </w:tblCellMar>
      </w:tblPr>
      <w:tblGrid>
        <w:gridCol w:w="1413"/>
        <w:gridCol w:w="3601"/>
        <w:gridCol w:w="5191"/>
      </w:tblGrid>
      <w:tr>
        <w:trPr/>
        <w:tc>
          <w:tcPr>
            <w:tcW w:w="1413" w:type="dxa"/>
            <w:tcBorders>
              <w:bottom w:val="single" w:sz="8" w:space="0" w:color="000000"/>
              <w:right w:val="single" w:sz="8" w:space="0" w:color="000000"/>
            </w:tcBorders>
            <w:vAlign w:val="center"/>
          </w:tcPr>
          <w:p>
            <w:pPr>
              <w:pStyle w:val="TableContents"/>
              <w:bidi w:val="0"/>
              <w:spacing w:before="0" w:after="283"/>
              <w:jc w:val="center"/>
              <w:rPr>
                <w:b/>
                <w:sz w:val="20"/>
              </w:rPr>
            </w:pPr>
            <w:r>
              <w:rPr>
                <w:b/>
                <w:sz w:val="20"/>
              </w:rPr>
              <w:t>Party required to deliver document</w:t>
            </w:r>
          </w:p>
        </w:tc>
        <w:tc>
          <w:tcPr>
            <w:tcW w:w="3601" w:type="dxa"/>
            <w:tcBorders>
              <w:bottom w:val="single" w:sz="8" w:space="0" w:color="000000"/>
              <w:right w:val="single" w:sz="8" w:space="0" w:color="000000"/>
            </w:tcBorders>
            <w:vAlign w:val="center"/>
          </w:tcPr>
          <w:p>
            <w:pPr>
              <w:pStyle w:val="TableContents"/>
              <w:bidi w:val="0"/>
              <w:spacing w:before="0" w:after="283"/>
              <w:jc w:val="center"/>
              <w:rPr>
                <w:b/>
                <w:sz w:val="20"/>
              </w:rPr>
            </w:pPr>
            <w:r>
              <w:rPr>
                <w:b/>
                <w:sz w:val="20"/>
              </w:rPr>
              <w:t>Form/Document/Certificate</w:t>
            </w:r>
          </w:p>
        </w:tc>
        <w:tc>
          <w:tcPr>
            <w:tcW w:w="5191" w:type="dxa"/>
            <w:tcBorders>
              <w:bottom w:val="single" w:sz="8" w:space="0" w:color="000000"/>
            </w:tcBorders>
            <w:tcMar>
              <w:right w:w="0" w:type="dxa"/>
            </w:tcMar>
            <w:vAlign w:val="center"/>
          </w:tcPr>
          <w:p>
            <w:pPr>
              <w:pStyle w:val="TableContents"/>
              <w:bidi w:val="0"/>
              <w:spacing w:before="0" w:after="283"/>
              <w:ind w:left="0" w:right="0" w:hanging="360"/>
              <w:jc w:val="center"/>
              <w:rPr>
                <w:b/>
                <w:sz w:val="20"/>
              </w:rPr>
            </w:pPr>
            <w:r>
              <w:rPr>
                <w:b/>
                <w:sz w:val="20"/>
              </w:rPr>
              <w:t>Date by which to be delivered</w:t>
            </w:r>
          </w:p>
        </w:tc>
      </w:tr>
      <w:tr>
        <w:trPr/>
        <w:tc>
          <w:tcPr>
            <w:tcW w:w="1413" w:type="dxa"/>
            <w:tcBorders>
              <w:bottom w:val="single" w:sz="8" w:space="0" w:color="000000"/>
              <w:right w:val="single" w:sz="8" w:space="0" w:color="000000"/>
            </w:tcBorders>
            <w:vAlign w:val="center"/>
          </w:tcPr>
          <w:p>
            <w:pPr>
              <w:pStyle w:val="TableContents"/>
              <w:bidi w:val="0"/>
              <w:spacing w:before="0" w:after="283"/>
              <w:jc w:val="left"/>
              <w:rPr>
                <w:sz w:val="20"/>
              </w:rPr>
            </w:pPr>
            <w:r>
              <w:rPr>
                <w:sz w:val="20"/>
              </w:rPr>
              <w:t>(i)     Party A</w:t>
            </w:r>
          </w:p>
        </w:tc>
        <w:tc>
          <w:tcPr>
            <w:tcW w:w="3601" w:type="dxa"/>
            <w:tcBorders>
              <w:bottom w:val="single" w:sz="8" w:space="0" w:color="000000"/>
              <w:right w:val="single" w:sz="8" w:space="0" w:color="000000"/>
            </w:tcBorders>
            <w:vAlign w:val="center"/>
          </w:tcPr>
          <w:p>
            <w:pPr>
              <w:pStyle w:val="TableContents"/>
              <w:bidi w:val="0"/>
              <w:spacing w:before="0" w:after="283"/>
              <w:jc w:val="left"/>
              <w:rPr>
                <w:sz w:val="20"/>
              </w:rPr>
            </w:pPr>
            <w:r>
              <w:rPr>
                <w:sz w:val="20"/>
              </w:rPr>
              <w:t>An accurate, properly completed and validly executed US Internal Revenue Service Form W-8BEN-E (or successor form, as the case may be)</w:t>
            </w:r>
          </w:p>
        </w:tc>
        <w:tc>
          <w:tcPr>
            <w:tcW w:w="5191" w:type="dxa"/>
            <w:tcBorders>
              <w:bottom w:val="single" w:sz="8" w:space="0" w:color="000000"/>
            </w:tcBorders>
            <w:tcMar>
              <w:right w:w="0" w:type="dxa"/>
            </w:tcMar>
            <w:vAlign w:val="center"/>
          </w:tcPr>
          <w:p>
            <w:pPr>
              <w:pStyle w:val="TableContents"/>
              <w:bidi w:val="0"/>
              <w:spacing w:before="0" w:after="283"/>
              <w:jc w:val="left"/>
              <w:rPr>
                <w:sz w:val="20"/>
              </w:rPr>
            </w:pPr>
            <w:r>
              <w:rPr>
                <w:sz w:val="20"/>
              </w:rPr>
              <w:t>(x) Upon execution of this Agreement; (y) promptly upon reasonable demand by Party B; and (z) promptly upon learning that any such form previously provided by Party A has become obsolete, incorrect or expired.</w:t>
            </w:r>
          </w:p>
        </w:tc>
      </w:tr>
    </w:tbl>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28" w:type="dxa"/>
        </w:tblCellMar>
      </w:tblPr>
      <w:tblGrid>
        <w:gridCol w:w="1134"/>
        <w:gridCol w:w="6067"/>
        <w:gridCol w:w="3004"/>
      </w:tblGrid>
      <w:tr>
        <w:trPr/>
        <w:tc>
          <w:tcPr>
            <w:tcW w:w="1134" w:type="dxa"/>
            <w:tcBorders>
              <w:bottom w:val="single" w:sz="8" w:space="0" w:color="000000"/>
              <w:right w:val="single" w:sz="8" w:space="0" w:color="000000"/>
            </w:tcBorders>
            <w:vAlign w:val="center"/>
          </w:tcPr>
          <w:p>
            <w:pPr>
              <w:pStyle w:val="TableContents"/>
              <w:bidi w:val="0"/>
              <w:spacing w:before="0" w:after="283"/>
              <w:jc w:val="center"/>
              <w:rPr>
                <w:b/>
                <w:sz w:val="20"/>
              </w:rPr>
            </w:pPr>
            <w:r>
              <w:rPr>
                <w:b/>
                <w:sz w:val="20"/>
              </w:rPr>
              <w:t>Party required to deliver document</w:t>
            </w:r>
          </w:p>
        </w:tc>
        <w:tc>
          <w:tcPr>
            <w:tcW w:w="6067" w:type="dxa"/>
            <w:tcBorders>
              <w:bottom w:val="single" w:sz="8" w:space="0" w:color="000000"/>
              <w:right w:val="single" w:sz="8" w:space="0" w:color="000000"/>
            </w:tcBorders>
            <w:vAlign w:val="center"/>
          </w:tcPr>
          <w:p>
            <w:pPr>
              <w:pStyle w:val="TableContents"/>
              <w:bidi w:val="0"/>
              <w:spacing w:before="0" w:after="283"/>
              <w:jc w:val="center"/>
              <w:rPr>
                <w:b/>
                <w:sz w:val="20"/>
              </w:rPr>
            </w:pPr>
            <w:r>
              <w:rPr>
                <w:b/>
                <w:sz w:val="20"/>
              </w:rPr>
              <w:t>Form/Document/Certificate</w:t>
            </w:r>
          </w:p>
        </w:tc>
        <w:tc>
          <w:tcPr>
            <w:tcW w:w="3004" w:type="dxa"/>
            <w:tcBorders>
              <w:bottom w:val="single" w:sz="8" w:space="0" w:color="000000"/>
            </w:tcBorders>
            <w:tcMar>
              <w:right w:w="0" w:type="dxa"/>
            </w:tcMar>
            <w:vAlign w:val="center"/>
          </w:tcPr>
          <w:p>
            <w:pPr>
              <w:pStyle w:val="TableContents"/>
              <w:bidi w:val="0"/>
              <w:spacing w:before="0" w:after="283"/>
              <w:ind w:left="0" w:right="0" w:hanging="360"/>
              <w:jc w:val="center"/>
              <w:rPr>
                <w:b/>
                <w:sz w:val="20"/>
              </w:rPr>
            </w:pPr>
            <w:r>
              <w:rPr>
                <w:b/>
                <w:sz w:val="20"/>
              </w:rPr>
              <w:t>Date by which to be delivered</w:t>
            </w:r>
          </w:p>
        </w:tc>
      </w:tr>
      <w:tr>
        <w:trPr/>
        <w:tc>
          <w:tcPr>
            <w:tcW w:w="1134" w:type="dxa"/>
            <w:tcBorders>
              <w:bottom w:val="single" w:sz="8" w:space="0" w:color="000000"/>
              <w:right w:val="single" w:sz="8" w:space="0" w:color="000000"/>
            </w:tcBorders>
            <w:vAlign w:val="center"/>
          </w:tcPr>
          <w:p>
            <w:pPr>
              <w:pStyle w:val="TableContents"/>
              <w:bidi w:val="0"/>
              <w:spacing w:before="0" w:after="283"/>
              <w:jc w:val="left"/>
              <w:rPr>
                <w:sz w:val="20"/>
              </w:rPr>
            </w:pPr>
            <w:r>
              <w:rPr>
                <w:sz w:val="20"/>
              </w:rPr>
              <w:t>(ii)   Party B</w:t>
            </w:r>
          </w:p>
        </w:tc>
        <w:tc>
          <w:tcPr>
            <w:tcW w:w="6067" w:type="dxa"/>
            <w:tcBorders>
              <w:bottom w:val="single" w:sz="8" w:space="0" w:color="000000"/>
              <w:right w:val="single" w:sz="8" w:space="0" w:color="000000"/>
            </w:tcBorders>
            <w:vAlign w:val="center"/>
          </w:tcPr>
          <w:p>
            <w:pPr>
              <w:pStyle w:val="TableContents"/>
              <w:bidi w:val="0"/>
              <w:spacing w:before="0" w:after="283"/>
              <w:jc w:val="left"/>
              <w:rPr>
                <w:sz w:val="20"/>
              </w:rPr>
            </w:pPr>
            <w:r>
              <w:rPr>
                <w:sz w:val="20"/>
              </w:rPr>
              <w:t>An accurate, properly completed and validly executed US Internal Revenue Service Form W-8BEN-E (or successor form, as the case may be).</w:t>
            </w:r>
          </w:p>
        </w:tc>
        <w:tc>
          <w:tcPr>
            <w:tcW w:w="3004" w:type="dxa"/>
            <w:tcBorders>
              <w:bottom w:val="single" w:sz="8" w:space="0" w:color="000000"/>
            </w:tcBorders>
            <w:tcMar>
              <w:right w:w="0" w:type="dxa"/>
            </w:tcMar>
            <w:vAlign w:val="center"/>
          </w:tcPr>
          <w:p>
            <w:pPr>
              <w:pStyle w:val="TableContents"/>
              <w:bidi w:val="0"/>
              <w:spacing w:before="0" w:after="283"/>
              <w:ind w:left="0" w:right="0" w:hanging="360"/>
              <w:jc w:val="left"/>
              <w:rPr>
                <w:sz w:val="20"/>
              </w:rPr>
            </w:pPr>
            <w:r>
              <w:rPr>
                <w:sz w:val="20"/>
              </w:rPr>
              <w:t>(x) Upon execution of this Agreement; (y) promptly upon reasonable demand by Party A; and (z) promptly upon learning that any such form previously provided by Party B has become obsolete, incorrect or expired.</w:t>
            </w:r>
          </w:p>
        </w:tc>
      </w:tr>
      <w:tr>
        <w:trPr/>
        <w:tc>
          <w:tcPr>
            <w:tcW w:w="1134" w:type="dxa"/>
            <w:tcBorders>
              <w:right w:val="single" w:sz="8" w:space="0" w:color="000000"/>
            </w:tcBorders>
            <w:tcMar>
              <w:bottom w:w="0" w:type="dxa"/>
            </w:tcMar>
            <w:vAlign w:val="center"/>
          </w:tcPr>
          <w:p>
            <w:pPr>
              <w:pStyle w:val="TableContents"/>
              <w:bidi w:val="0"/>
              <w:spacing w:before="0" w:after="283"/>
              <w:jc w:val="left"/>
              <w:rPr>
                <w:sz w:val="20"/>
              </w:rPr>
            </w:pPr>
            <w:r>
              <w:rPr>
                <w:sz w:val="20"/>
              </w:rPr>
              <w:t>(iii)  Party A and Party B</w:t>
            </w:r>
          </w:p>
        </w:tc>
        <w:tc>
          <w:tcPr>
            <w:tcW w:w="6067" w:type="dxa"/>
            <w:tcBorders>
              <w:right w:val="single" w:sz="8" w:space="0" w:color="000000"/>
            </w:tcBorders>
            <w:tcMar>
              <w:bottom w:w="0" w:type="dxa"/>
            </w:tcMar>
            <w:vAlign w:val="center"/>
          </w:tcPr>
          <w:p>
            <w:pPr>
              <w:pStyle w:val="TableContents"/>
              <w:bidi w:val="0"/>
              <w:spacing w:before="0" w:after="283"/>
              <w:jc w:val="left"/>
              <w:rPr>
                <w:sz w:val="20"/>
              </w:rPr>
            </w:pPr>
            <w:r>
              <w:rPr>
                <w:sz w:val="20"/>
              </w:rPr>
              <w:t>Any other form or document, accurately completed and in a manner reasonably satisfactory to the other party, that may be required or reasonably requested by the other party under Section 4(a)(iii) in order to allow the other party to make a payment under this Agreement without any deduction or withholding for or on account of any Tax or with such deduction at a reduced rate or to comply with any reporting, including reporting implemented pursuant to the OECD Common Reporting Standard.</w:t>
            </w:r>
          </w:p>
        </w:tc>
        <w:tc>
          <w:tcPr>
            <w:tcW w:w="3004" w:type="dxa"/>
            <w:tcBorders/>
            <w:tcMar>
              <w:bottom w:w="0" w:type="dxa"/>
              <w:right w:w="0" w:type="dxa"/>
            </w:tcMar>
            <w:vAlign w:val="center"/>
          </w:tcPr>
          <w:p>
            <w:pPr>
              <w:pStyle w:val="TableContents"/>
              <w:bidi w:val="0"/>
              <w:spacing w:before="0" w:after="283"/>
              <w:jc w:val="left"/>
              <w:rPr>
                <w:sz w:val="20"/>
              </w:rPr>
            </w:pPr>
            <w:r>
              <w:rPr>
                <w:sz w:val="20"/>
              </w:rPr>
              <w:t>Promptly upon reasonable request by the other party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00"/>
        <w:gridCol w:w="770"/>
        <w:gridCol w:w="9335"/>
      </w:tblGrid>
      <w:tr>
        <w:trPr/>
        <w:tc>
          <w:tcPr>
            <w:tcW w:w="10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r>
              <w:rPr/>
              <w:t>(b)</w:t>
            </w:r>
          </w:p>
        </w:tc>
        <w:tc>
          <w:tcPr>
            <w:tcW w:w="9335" w:type="dxa"/>
            <w:tcBorders/>
            <w:vAlign w:val="center"/>
          </w:tcPr>
          <w:p>
            <w:pPr>
              <w:pStyle w:val="TableContents"/>
              <w:bidi w:val="0"/>
              <w:spacing w:before="0" w:after="283"/>
              <w:jc w:val="both"/>
              <w:rPr/>
            </w:pPr>
            <w:r>
              <w:rPr/>
              <w:t>Other documents to be delivered are: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28" w:type="dxa"/>
          <w:right w:w="28" w:type="dxa"/>
        </w:tblCellMar>
      </w:tblPr>
      <w:tblGrid>
        <w:gridCol w:w="1278"/>
        <w:gridCol w:w="5627"/>
        <w:gridCol w:w="2328"/>
        <w:gridCol w:w="972"/>
      </w:tblGrid>
      <w:tr>
        <w:trPr/>
        <w:tc>
          <w:tcPr>
            <w:tcW w:w="1278" w:type="dxa"/>
            <w:tcBorders>
              <w:bottom w:val="single" w:sz="8" w:space="0" w:color="000000"/>
              <w:right w:val="single" w:sz="8" w:space="0" w:color="000000"/>
            </w:tcBorders>
            <w:vAlign w:val="center"/>
          </w:tcPr>
          <w:p>
            <w:pPr>
              <w:pStyle w:val="TableContents"/>
              <w:bidi w:val="0"/>
              <w:spacing w:before="0" w:after="283"/>
              <w:jc w:val="center"/>
              <w:rPr>
                <w:b/>
                <w:sz w:val="20"/>
              </w:rPr>
            </w:pPr>
            <w:r>
              <w:rPr>
                <w:b/>
                <w:sz w:val="20"/>
              </w:rPr>
              <w:t>Party required to deliver document</w:t>
            </w:r>
          </w:p>
        </w:tc>
        <w:tc>
          <w:tcPr>
            <w:tcW w:w="5627" w:type="dxa"/>
            <w:tcBorders>
              <w:bottom w:val="single" w:sz="8" w:space="0" w:color="000000"/>
              <w:right w:val="single" w:sz="8" w:space="0" w:color="000000"/>
            </w:tcBorders>
            <w:vAlign w:val="center"/>
          </w:tcPr>
          <w:p>
            <w:pPr>
              <w:pStyle w:val="TableContents"/>
              <w:bidi w:val="0"/>
              <w:spacing w:before="0" w:after="283"/>
              <w:jc w:val="center"/>
              <w:rPr>
                <w:b/>
                <w:sz w:val="20"/>
              </w:rPr>
            </w:pPr>
            <w:r>
              <w:rPr>
                <w:b/>
                <w:sz w:val="20"/>
              </w:rPr>
              <w:t>Form/Document/Certificate</w:t>
            </w:r>
          </w:p>
        </w:tc>
        <w:tc>
          <w:tcPr>
            <w:tcW w:w="2328" w:type="dxa"/>
            <w:tcBorders>
              <w:bottom w:val="single" w:sz="8" w:space="0" w:color="000000"/>
              <w:right w:val="single" w:sz="8" w:space="0" w:color="000000"/>
            </w:tcBorders>
            <w:vAlign w:val="center"/>
          </w:tcPr>
          <w:p>
            <w:pPr>
              <w:pStyle w:val="TableContents"/>
              <w:bidi w:val="0"/>
              <w:spacing w:before="0" w:after="283"/>
              <w:jc w:val="center"/>
              <w:rPr>
                <w:b/>
                <w:sz w:val="20"/>
              </w:rPr>
            </w:pPr>
            <w:r>
              <w:rPr>
                <w:b/>
                <w:sz w:val="20"/>
              </w:rPr>
              <w:t>Date by which to be delivered</w:t>
            </w:r>
          </w:p>
        </w:tc>
        <w:tc>
          <w:tcPr>
            <w:tcW w:w="972" w:type="dxa"/>
            <w:tcBorders>
              <w:bottom w:val="single" w:sz="8" w:space="0" w:color="000000"/>
            </w:tcBorders>
            <w:tcMar>
              <w:right w:w="0" w:type="dxa"/>
            </w:tcMar>
            <w:vAlign w:val="center"/>
          </w:tcPr>
          <w:p>
            <w:pPr>
              <w:pStyle w:val="TableContents"/>
              <w:bidi w:val="0"/>
              <w:spacing w:before="0" w:after="283"/>
              <w:ind w:left="0" w:right="0" w:hanging="360"/>
              <w:jc w:val="center"/>
              <w:rPr>
                <w:b/>
                <w:sz w:val="20"/>
              </w:rPr>
            </w:pPr>
            <w:r>
              <w:rPr>
                <w:b/>
                <w:sz w:val="20"/>
              </w:rPr>
              <w:t>Covered by Section 3(d) Representation</w:t>
            </w:r>
          </w:p>
        </w:tc>
      </w:tr>
      <w:tr>
        <w:trPr/>
        <w:tc>
          <w:tcPr>
            <w:tcW w:w="1278" w:type="dxa"/>
            <w:tcBorders>
              <w:bottom w:val="single" w:sz="8" w:space="0" w:color="000000"/>
              <w:right w:val="single" w:sz="8" w:space="0" w:color="000000"/>
            </w:tcBorders>
            <w:vAlign w:val="center"/>
          </w:tcPr>
          <w:p>
            <w:pPr>
              <w:pStyle w:val="TableContents"/>
              <w:bidi w:val="0"/>
              <w:spacing w:before="0" w:after="283"/>
              <w:jc w:val="left"/>
              <w:rPr>
                <w:sz w:val="20"/>
              </w:rPr>
            </w:pPr>
            <w:r>
              <w:rPr>
                <w:sz w:val="20"/>
              </w:rPr>
              <w:t>(i)     Party A and Party B</w:t>
            </w:r>
          </w:p>
        </w:tc>
        <w:tc>
          <w:tcPr>
            <w:tcW w:w="5627" w:type="dxa"/>
            <w:tcBorders>
              <w:bottom w:val="single" w:sz="8" w:space="0" w:color="000000"/>
              <w:right w:val="single" w:sz="8" w:space="0" w:color="000000"/>
            </w:tcBorders>
            <w:vAlign w:val="center"/>
          </w:tcPr>
          <w:p>
            <w:pPr>
              <w:pStyle w:val="TableContents"/>
              <w:bidi w:val="0"/>
              <w:spacing w:before="0" w:after="283"/>
              <w:jc w:val="left"/>
              <w:rPr>
                <w:sz w:val="20"/>
              </w:rPr>
            </w:pPr>
            <w:r>
              <w:rPr>
                <w:sz w:val="20"/>
              </w:rPr>
              <w:t>Certified copies, in form and substance reasonably satisfactory to the other party, of (x) signature specimen of authorized individuals and (y) all other documents authorizing the execution, delivery and performance of this Agreement and any Credit Support Document (if applicable) by the delivering party</w:t>
            </w:r>
          </w:p>
        </w:tc>
        <w:tc>
          <w:tcPr>
            <w:tcW w:w="2328" w:type="dxa"/>
            <w:tcBorders>
              <w:bottom w:val="single" w:sz="8" w:space="0" w:color="000000"/>
              <w:right w:val="single" w:sz="8" w:space="0" w:color="000000"/>
            </w:tcBorders>
            <w:vAlign w:val="center"/>
          </w:tcPr>
          <w:p>
            <w:pPr>
              <w:pStyle w:val="TableContents"/>
              <w:bidi w:val="0"/>
              <w:spacing w:before="0" w:after="283"/>
              <w:jc w:val="left"/>
              <w:rPr>
                <w:sz w:val="20"/>
              </w:rPr>
            </w:pPr>
            <w:r>
              <w:rPr>
                <w:sz w:val="20"/>
              </w:rPr>
              <w:t>Promptly upon request by the other party</w:t>
            </w:r>
          </w:p>
        </w:tc>
        <w:tc>
          <w:tcPr>
            <w:tcW w:w="972" w:type="dxa"/>
            <w:tcBorders>
              <w:bottom w:val="single" w:sz="8" w:space="0" w:color="000000"/>
            </w:tcBorders>
            <w:tcMar>
              <w:right w:w="0" w:type="dxa"/>
            </w:tcMar>
            <w:vAlign w:val="center"/>
          </w:tcPr>
          <w:p>
            <w:pPr>
              <w:pStyle w:val="TableContents"/>
              <w:bidi w:val="0"/>
              <w:spacing w:before="0" w:after="283"/>
              <w:ind w:left="0" w:right="0" w:hanging="360"/>
              <w:jc w:val="left"/>
              <w:rPr>
                <w:sz w:val="20"/>
              </w:rPr>
            </w:pPr>
            <w:r>
              <w:rPr>
                <w:sz w:val="20"/>
              </w:rPr>
              <w:t>Yes</w:t>
            </w:r>
          </w:p>
        </w:tc>
      </w:tr>
      <w:tr>
        <w:trPr/>
        <w:tc>
          <w:tcPr>
            <w:tcW w:w="1278" w:type="dxa"/>
            <w:tcBorders>
              <w:bottom w:val="single" w:sz="8" w:space="0" w:color="000000"/>
              <w:right w:val="single" w:sz="8" w:space="0" w:color="000000"/>
            </w:tcBorders>
            <w:vAlign w:val="center"/>
          </w:tcPr>
          <w:p>
            <w:pPr>
              <w:pStyle w:val="TableContents"/>
              <w:bidi w:val="0"/>
              <w:spacing w:before="0" w:after="283"/>
              <w:jc w:val="left"/>
              <w:rPr>
                <w:sz w:val="20"/>
              </w:rPr>
            </w:pPr>
            <w:r>
              <w:rPr>
                <w:sz w:val="20"/>
              </w:rPr>
              <w:t>(ii)   Party A and Party B</w:t>
            </w:r>
          </w:p>
        </w:tc>
        <w:tc>
          <w:tcPr>
            <w:tcW w:w="5627" w:type="dxa"/>
            <w:tcBorders>
              <w:bottom w:val="single" w:sz="8" w:space="0" w:color="000000"/>
              <w:right w:val="single" w:sz="8" w:space="0" w:color="000000"/>
            </w:tcBorders>
            <w:vAlign w:val="center"/>
          </w:tcPr>
          <w:p>
            <w:pPr>
              <w:pStyle w:val="TableContents"/>
              <w:bidi w:val="0"/>
              <w:spacing w:before="0" w:after="283"/>
              <w:jc w:val="left"/>
              <w:rPr>
                <w:sz w:val="20"/>
              </w:rPr>
            </w:pPr>
            <w:r>
              <w:rPr>
                <w:sz w:val="20"/>
              </w:rPr>
              <w:t>Duly executed copy of each Credit Support Document</w:t>
            </w:r>
          </w:p>
        </w:tc>
        <w:tc>
          <w:tcPr>
            <w:tcW w:w="2328" w:type="dxa"/>
            <w:tcBorders>
              <w:bottom w:val="single" w:sz="8" w:space="0" w:color="000000"/>
              <w:right w:val="single" w:sz="8" w:space="0" w:color="000000"/>
            </w:tcBorders>
            <w:vAlign w:val="center"/>
          </w:tcPr>
          <w:p>
            <w:pPr>
              <w:pStyle w:val="TableContents"/>
              <w:bidi w:val="0"/>
              <w:spacing w:before="0" w:after="283"/>
              <w:jc w:val="left"/>
              <w:rPr>
                <w:sz w:val="20"/>
              </w:rPr>
            </w:pPr>
            <w:r>
              <w:rPr>
                <w:sz w:val="20"/>
              </w:rPr>
              <w:t>Upon execution of this Agreement and, thereafter, upon amendment thereof</w:t>
            </w:r>
          </w:p>
        </w:tc>
        <w:tc>
          <w:tcPr>
            <w:tcW w:w="972" w:type="dxa"/>
            <w:tcBorders>
              <w:bottom w:val="single" w:sz="8" w:space="0" w:color="000000"/>
            </w:tcBorders>
            <w:tcMar>
              <w:right w:w="0" w:type="dxa"/>
            </w:tcMar>
            <w:vAlign w:val="center"/>
          </w:tcPr>
          <w:p>
            <w:pPr>
              <w:pStyle w:val="TableContents"/>
              <w:bidi w:val="0"/>
              <w:spacing w:before="0" w:after="283"/>
              <w:ind w:left="0" w:right="0" w:hanging="360"/>
              <w:jc w:val="left"/>
              <w:rPr>
                <w:sz w:val="20"/>
              </w:rPr>
            </w:pPr>
            <w:r>
              <w:rPr>
                <w:sz w:val="20"/>
              </w:rPr>
              <w:t>Yes</w:t>
            </w:r>
          </w:p>
        </w:tc>
      </w:tr>
      <w:tr>
        <w:trPr/>
        <w:tc>
          <w:tcPr>
            <w:tcW w:w="1278" w:type="dxa"/>
            <w:tcBorders>
              <w:bottom w:val="single" w:sz="8" w:space="0" w:color="000000"/>
              <w:right w:val="single" w:sz="8" w:space="0" w:color="000000"/>
            </w:tcBorders>
            <w:vAlign w:val="center"/>
          </w:tcPr>
          <w:p>
            <w:pPr>
              <w:pStyle w:val="TableContents"/>
              <w:bidi w:val="0"/>
              <w:spacing w:before="0" w:after="283"/>
              <w:jc w:val="left"/>
              <w:rPr>
                <w:sz w:val="20"/>
              </w:rPr>
            </w:pPr>
            <w:r>
              <w:rPr>
                <w:sz w:val="20"/>
              </w:rPr>
              <w:t>(iii)  Party A and Party B</w:t>
            </w:r>
          </w:p>
        </w:tc>
        <w:tc>
          <w:tcPr>
            <w:tcW w:w="5627" w:type="dxa"/>
            <w:tcBorders>
              <w:bottom w:val="single" w:sz="8" w:space="0" w:color="000000"/>
              <w:right w:val="single" w:sz="8" w:space="0" w:color="000000"/>
            </w:tcBorders>
            <w:vAlign w:val="center"/>
          </w:tcPr>
          <w:p>
            <w:pPr>
              <w:pStyle w:val="TableContents"/>
              <w:bidi w:val="0"/>
              <w:spacing w:before="0" w:after="283"/>
              <w:jc w:val="left"/>
              <w:rPr>
                <w:sz w:val="20"/>
              </w:rPr>
            </w:pPr>
            <w:r>
              <w:rPr>
                <w:sz w:val="20"/>
              </w:rPr>
              <w:t>Copies of its Core Documents</w:t>
            </w:r>
          </w:p>
        </w:tc>
        <w:tc>
          <w:tcPr>
            <w:tcW w:w="2328" w:type="dxa"/>
            <w:tcBorders>
              <w:bottom w:val="single" w:sz="8" w:space="0" w:color="000000"/>
              <w:right w:val="single" w:sz="8" w:space="0" w:color="000000"/>
            </w:tcBorders>
            <w:vAlign w:val="center"/>
          </w:tcPr>
          <w:p>
            <w:pPr>
              <w:pStyle w:val="TableContents"/>
              <w:bidi w:val="0"/>
              <w:spacing w:before="0" w:after="283"/>
              <w:jc w:val="left"/>
              <w:rPr>
                <w:sz w:val="20"/>
              </w:rPr>
            </w:pPr>
            <w:r>
              <w:rPr>
                <w:sz w:val="20"/>
              </w:rPr>
              <w:t>Upon execution of this Agreement and, thereafter, promptly following material amendment thereof</w:t>
            </w:r>
          </w:p>
        </w:tc>
        <w:tc>
          <w:tcPr>
            <w:tcW w:w="972" w:type="dxa"/>
            <w:tcBorders>
              <w:bottom w:val="single" w:sz="8" w:space="0" w:color="000000"/>
            </w:tcBorders>
            <w:tcMar>
              <w:right w:w="0" w:type="dxa"/>
            </w:tcMar>
            <w:vAlign w:val="center"/>
          </w:tcPr>
          <w:p>
            <w:pPr>
              <w:pStyle w:val="TableContents"/>
              <w:bidi w:val="0"/>
              <w:spacing w:before="0" w:after="283"/>
              <w:jc w:val="left"/>
              <w:rPr>
                <w:sz w:val="20"/>
              </w:rPr>
            </w:pPr>
            <w:r>
              <w:rPr>
                <w:sz w:val="20"/>
              </w:rPr>
              <w:t>Yes</w:t>
            </w:r>
          </w:p>
        </w:tc>
      </w:tr>
    </w:tbl>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28" w:type="dxa"/>
        </w:tblCellMar>
      </w:tblPr>
      <w:tblGrid>
        <w:gridCol w:w="1399"/>
        <w:gridCol w:w="5783"/>
        <w:gridCol w:w="1885"/>
        <w:gridCol w:w="1138"/>
      </w:tblGrid>
      <w:tr>
        <w:trPr/>
        <w:tc>
          <w:tcPr>
            <w:tcW w:w="1399" w:type="dxa"/>
            <w:tcBorders>
              <w:bottom w:val="single" w:sz="8" w:space="0" w:color="000000"/>
              <w:right w:val="single" w:sz="8" w:space="0" w:color="000000"/>
            </w:tcBorders>
            <w:vAlign w:val="center"/>
          </w:tcPr>
          <w:p>
            <w:pPr>
              <w:pStyle w:val="TableContents"/>
              <w:bidi w:val="0"/>
              <w:spacing w:before="0" w:after="283"/>
              <w:jc w:val="center"/>
              <w:rPr>
                <w:b/>
                <w:sz w:val="20"/>
              </w:rPr>
            </w:pPr>
            <w:r>
              <w:rPr>
                <w:b/>
                <w:sz w:val="20"/>
              </w:rPr>
              <w:t>Party required to deliver document</w:t>
            </w:r>
          </w:p>
        </w:tc>
        <w:tc>
          <w:tcPr>
            <w:tcW w:w="5783" w:type="dxa"/>
            <w:tcBorders>
              <w:bottom w:val="single" w:sz="8" w:space="0" w:color="000000"/>
              <w:right w:val="single" w:sz="8" w:space="0" w:color="000000"/>
            </w:tcBorders>
            <w:vAlign w:val="center"/>
          </w:tcPr>
          <w:p>
            <w:pPr>
              <w:pStyle w:val="TableContents"/>
              <w:bidi w:val="0"/>
              <w:spacing w:before="0" w:after="283"/>
              <w:jc w:val="center"/>
              <w:rPr>
                <w:b/>
                <w:sz w:val="20"/>
              </w:rPr>
            </w:pPr>
            <w:r>
              <w:rPr>
                <w:b/>
                <w:sz w:val="20"/>
              </w:rPr>
              <w:t>Form/Document/Certificate</w:t>
            </w:r>
          </w:p>
        </w:tc>
        <w:tc>
          <w:tcPr>
            <w:tcW w:w="1885" w:type="dxa"/>
            <w:tcBorders>
              <w:bottom w:val="single" w:sz="8" w:space="0" w:color="000000"/>
              <w:right w:val="single" w:sz="8" w:space="0" w:color="000000"/>
            </w:tcBorders>
            <w:vAlign w:val="center"/>
          </w:tcPr>
          <w:p>
            <w:pPr>
              <w:pStyle w:val="TableContents"/>
              <w:bidi w:val="0"/>
              <w:spacing w:before="0" w:after="283"/>
              <w:jc w:val="center"/>
              <w:rPr>
                <w:b/>
                <w:sz w:val="20"/>
              </w:rPr>
            </w:pPr>
            <w:r>
              <w:rPr>
                <w:b/>
                <w:sz w:val="20"/>
              </w:rPr>
              <w:t>Date by which to be delivered</w:t>
            </w:r>
          </w:p>
        </w:tc>
        <w:tc>
          <w:tcPr>
            <w:tcW w:w="1138" w:type="dxa"/>
            <w:tcBorders>
              <w:bottom w:val="single" w:sz="8" w:space="0" w:color="000000"/>
            </w:tcBorders>
            <w:tcMar>
              <w:right w:w="0" w:type="dxa"/>
            </w:tcMar>
            <w:vAlign w:val="center"/>
          </w:tcPr>
          <w:p>
            <w:pPr>
              <w:pStyle w:val="TableContents"/>
              <w:bidi w:val="0"/>
              <w:spacing w:before="0" w:after="283"/>
              <w:ind w:left="0" w:right="0" w:hanging="360"/>
              <w:jc w:val="center"/>
              <w:rPr>
                <w:b/>
                <w:sz w:val="20"/>
              </w:rPr>
            </w:pPr>
            <w:r>
              <w:rPr>
                <w:b/>
                <w:sz w:val="20"/>
              </w:rPr>
              <w:t>Covered by Section 3(d) Representation</w:t>
            </w:r>
          </w:p>
        </w:tc>
      </w:tr>
      <w:tr>
        <w:trPr/>
        <w:tc>
          <w:tcPr>
            <w:tcW w:w="1399" w:type="dxa"/>
            <w:tcBorders>
              <w:bottom w:val="single" w:sz="8" w:space="0" w:color="000000"/>
              <w:right w:val="single" w:sz="8" w:space="0" w:color="000000"/>
            </w:tcBorders>
            <w:vAlign w:val="center"/>
          </w:tcPr>
          <w:p>
            <w:pPr>
              <w:pStyle w:val="TableContents"/>
              <w:bidi w:val="0"/>
              <w:spacing w:before="0" w:after="283"/>
              <w:jc w:val="left"/>
              <w:rPr>
                <w:sz w:val="20"/>
              </w:rPr>
            </w:pPr>
            <w:r>
              <w:rPr>
                <w:sz w:val="20"/>
              </w:rPr>
              <w:t>(iv)  Party A and Party B</w:t>
            </w:r>
          </w:p>
        </w:tc>
        <w:tc>
          <w:tcPr>
            <w:tcW w:w="5783" w:type="dxa"/>
            <w:tcBorders>
              <w:bottom w:val="single" w:sz="8" w:space="0" w:color="000000"/>
              <w:right w:val="single" w:sz="8" w:space="0" w:color="000000"/>
            </w:tcBorders>
            <w:vAlign w:val="center"/>
          </w:tcPr>
          <w:p>
            <w:pPr>
              <w:pStyle w:val="TableContents"/>
              <w:bidi w:val="0"/>
              <w:spacing w:before="0" w:after="283"/>
              <w:jc w:val="left"/>
              <w:rPr>
                <w:sz w:val="20"/>
              </w:rPr>
            </w:pPr>
            <w:r>
              <w:rPr>
                <w:sz w:val="20"/>
              </w:rPr>
              <w:t>Such documentation and other evidence as is reasonably required by the other party in order to carry out and be satisfied it has complied with all necessary “know your customer” or other similar checks under applicable laws and regulations</w:t>
            </w:r>
          </w:p>
        </w:tc>
        <w:tc>
          <w:tcPr>
            <w:tcW w:w="1885" w:type="dxa"/>
            <w:tcBorders>
              <w:bottom w:val="single" w:sz="8" w:space="0" w:color="000000"/>
              <w:right w:val="single" w:sz="8" w:space="0" w:color="000000"/>
            </w:tcBorders>
            <w:vAlign w:val="center"/>
          </w:tcPr>
          <w:p>
            <w:pPr>
              <w:pStyle w:val="TableContents"/>
              <w:bidi w:val="0"/>
              <w:spacing w:before="0" w:after="283"/>
              <w:jc w:val="left"/>
              <w:rPr>
                <w:sz w:val="20"/>
              </w:rPr>
            </w:pPr>
            <w:r>
              <w:rPr>
                <w:sz w:val="20"/>
              </w:rPr>
              <w:t>Promptly upon a change of control and otherwise upon request</w:t>
            </w:r>
          </w:p>
        </w:tc>
        <w:tc>
          <w:tcPr>
            <w:tcW w:w="1138" w:type="dxa"/>
            <w:tcBorders>
              <w:bottom w:val="single" w:sz="8" w:space="0" w:color="000000"/>
            </w:tcBorders>
            <w:tcMar>
              <w:right w:w="0" w:type="dxa"/>
            </w:tcMar>
            <w:vAlign w:val="center"/>
          </w:tcPr>
          <w:p>
            <w:pPr>
              <w:pStyle w:val="TableContents"/>
              <w:bidi w:val="0"/>
              <w:spacing w:before="0" w:after="283"/>
              <w:ind w:left="0" w:right="0" w:hanging="360"/>
              <w:jc w:val="left"/>
              <w:rPr>
                <w:sz w:val="20"/>
              </w:rPr>
            </w:pPr>
            <w:r>
              <w:rPr>
                <w:sz w:val="20"/>
              </w:rPr>
              <w:t>Yes</w:t>
            </w:r>
          </w:p>
        </w:tc>
      </w:tr>
      <w:tr>
        <w:trPr/>
        <w:tc>
          <w:tcPr>
            <w:tcW w:w="1399" w:type="dxa"/>
            <w:tcBorders>
              <w:right w:val="single" w:sz="8" w:space="0" w:color="000000"/>
            </w:tcBorders>
            <w:tcMar>
              <w:bottom w:w="0" w:type="dxa"/>
            </w:tcMar>
            <w:vAlign w:val="center"/>
          </w:tcPr>
          <w:p>
            <w:pPr>
              <w:pStyle w:val="TableContents"/>
              <w:bidi w:val="0"/>
              <w:spacing w:before="0" w:after="283"/>
              <w:jc w:val="left"/>
              <w:rPr>
                <w:sz w:val="20"/>
              </w:rPr>
            </w:pPr>
            <w:r>
              <w:rPr>
                <w:sz w:val="20"/>
              </w:rPr>
              <w:t>(v)    Party A and Party B</w:t>
            </w:r>
          </w:p>
        </w:tc>
        <w:tc>
          <w:tcPr>
            <w:tcW w:w="5783" w:type="dxa"/>
            <w:tcBorders>
              <w:right w:val="single" w:sz="8" w:space="0" w:color="000000"/>
            </w:tcBorders>
            <w:tcMar>
              <w:bottom w:w="0" w:type="dxa"/>
            </w:tcMar>
            <w:vAlign w:val="center"/>
          </w:tcPr>
          <w:p>
            <w:pPr>
              <w:pStyle w:val="TableContents"/>
              <w:bidi w:val="0"/>
              <w:spacing w:before="0" w:after="283"/>
              <w:jc w:val="left"/>
              <w:rPr>
                <w:sz w:val="20"/>
              </w:rPr>
            </w:pPr>
            <w:r>
              <w:rPr>
                <w:sz w:val="20"/>
              </w:rPr>
              <w:t>Prior notice of any change to the registered address of a party or the location from which the party administers its business (the party’s “center of main interests”)</w:t>
            </w:r>
          </w:p>
        </w:tc>
        <w:tc>
          <w:tcPr>
            <w:tcW w:w="1885" w:type="dxa"/>
            <w:tcBorders>
              <w:right w:val="single" w:sz="8" w:space="0" w:color="000000"/>
            </w:tcBorders>
            <w:tcMar>
              <w:bottom w:w="0" w:type="dxa"/>
            </w:tcMar>
            <w:vAlign w:val="center"/>
          </w:tcPr>
          <w:p>
            <w:pPr>
              <w:pStyle w:val="TableContents"/>
              <w:bidi w:val="0"/>
              <w:spacing w:before="0" w:after="283"/>
              <w:jc w:val="left"/>
              <w:rPr>
                <w:sz w:val="20"/>
              </w:rPr>
            </w:pPr>
            <w:r>
              <w:rPr>
                <w:sz w:val="20"/>
              </w:rPr>
              <w:t>At least 10 calendar days prior to any change</w:t>
            </w:r>
          </w:p>
        </w:tc>
        <w:tc>
          <w:tcPr>
            <w:tcW w:w="1138" w:type="dxa"/>
            <w:tcBorders/>
            <w:tcMar>
              <w:bottom w:w="0" w:type="dxa"/>
              <w:right w:w="0" w:type="dxa"/>
            </w:tcMar>
            <w:vAlign w:val="center"/>
          </w:tcPr>
          <w:p>
            <w:pPr>
              <w:pStyle w:val="TableContents"/>
              <w:bidi w:val="0"/>
              <w:spacing w:before="0" w:after="283"/>
              <w:jc w:val="left"/>
              <w:rPr>
                <w:sz w:val="20"/>
              </w:rPr>
            </w:pPr>
            <w:r>
              <w:rPr>
                <w:sz w:val="20"/>
              </w:rPr>
              <w:t>Yes</w:t>
            </w:r>
          </w:p>
        </w:tc>
      </w:tr>
    </w:tbl>
    <w:p>
      <w:pPr>
        <w:pStyle w:val="TextBody"/>
        <w:bidi w:val="0"/>
        <w:spacing w:before="0" w:after="0"/>
        <w:ind w:left="720" w:right="0" w:hanging="0"/>
        <w:jc w:val="both"/>
        <w:rPr/>
      </w:pPr>
      <w:r>
        <w:rPr/>
        <w:t> </w:t>
      </w:r>
    </w:p>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59"/>
        <w:gridCol w:w="1971"/>
        <w:gridCol w:w="8075"/>
      </w:tblGrid>
      <w:tr>
        <w:trPr/>
        <w:tc>
          <w:tcPr>
            <w:tcW w:w="159"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b/>
              </w:rPr>
            </w:pPr>
            <w:r>
              <w:rPr>
                <w:b/>
              </w:rPr>
              <w:t>Part</w:t>
            </w:r>
          </w:p>
        </w:tc>
        <w:tc>
          <w:tcPr>
            <w:tcW w:w="8075" w:type="dxa"/>
            <w:tcBorders/>
            <w:vAlign w:val="center"/>
          </w:tcPr>
          <w:p>
            <w:pPr>
              <w:pStyle w:val="TableContents"/>
              <w:bidi w:val="0"/>
              <w:spacing w:before="0" w:after="283"/>
              <w:jc w:val="both"/>
              <w:rPr>
                <w:b/>
              </w:rPr>
            </w:pPr>
            <w:r>
              <w:rPr>
                <w:b/>
              </w:rPr>
              <w:t>4.    Miscellaneous.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
        <w:gridCol w:w="317"/>
        <w:gridCol w:w="9845"/>
      </w:tblGrid>
      <w:tr>
        <w:trPr/>
        <w:tc>
          <w:tcPr>
            <w:tcW w:w="4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(a)</w:t>
            </w:r>
          </w:p>
        </w:tc>
        <w:tc>
          <w:tcPr>
            <w:tcW w:w="9845" w:type="dxa"/>
            <w:tcBorders/>
            <w:vAlign w:val="center"/>
          </w:tcPr>
          <w:p>
            <w:pPr>
              <w:pStyle w:val="TableContents"/>
              <w:bidi w:val="0"/>
              <w:spacing w:before="0" w:after="283"/>
              <w:jc w:val="both"/>
              <w:rPr/>
            </w:pPr>
            <w:r>
              <w:rPr>
                <w:b/>
                <w:i/>
              </w:rPr>
              <w:t>Addresses for Notices.</w:t>
            </w:r>
            <w:r>
              <w:rPr/>
              <w:t xml:space="preserve"> For the purpose of Section 12(a) (</w:t>
            </w:r>
            <w:r>
              <w:rPr>
                <w:i/>
              </w:rPr>
              <w:t>Effectiveness</w:t>
            </w:r>
            <w:r>
              <w:rPr/>
              <w:t>) of this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6"/>
        <w:gridCol w:w="461"/>
        <w:gridCol w:w="9668"/>
      </w:tblGrid>
      <w:tr>
        <w:trPr/>
        <w:tc>
          <w:tcPr>
            <w:tcW w:w="7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pPr>
            <w:r>
              <w:rPr/>
              <w:t>(i)</w:t>
            </w:r>
          </w:p>
        </w:tc>
        <w:tc>
          <w:tcPr>
            <w:tcW w:w="9668" w:type="dxa"/>
            <w:tcBorders/>
            <w:vAlign w:val="center"/>
          </w:tcPr>
          <w:p>
            <w:pPr>
              <w:pStyle w:val="TableContents"/>
              <w:bidi w:val="0"/>
              <w:spacing w:before="0" w:after="283"/>
              <w:jc w:val="both"/>
              <w:rPr/>
            </w:pPr>
            <w:r>
              <w:rPr/>
              <w:t>Address for notices or communications to Party A:</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58"/>
        <w:gridCol w:w="1819"/>
        <w:gridCol w:w="8228"/>
      </w:tblGrid>
      <w:tr>
        <w:trPr/>
        <w:tc>
          <w:tcPr>
            <w:tcW w:w="158"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left"/>
              <w:rPr/>
            </w:pPr>
            <w:r>
              <w:rPr/>
              <w:t> </w:t>
            </w:r>
          </w:p>
        </w:tc>
        <w:tc>
          <w:tcPr>
            <w:tcW w:w="8228" w:type="dxa"/>
            <w:tcBorders/>
            <w:vAlign w:val="center"/>
          </w:tcPr>
          <w:p>
            <w:pPr>
              <w:pStyle w:val="TableContents"/>
              <w:bidi w:val="0"/>
              <w:spacing w:before="0" w:after="283"/>
              <w:jc w:val="left"/>
              <w:rPr>
                <w:b/>
              </w:rPr>
            </w:pPr>
            <w:r>
              <w:rPr>
                <w:b/>
              </w:rPr>
              <w:t>Blockchain.com (BVI) II Limited</w:t>
            </w:r>
          </w:p>
        </w:tc>
      </w:tr>
      <w:tr>
        <w:trPr/>
        <w:tc>
          <w:tcPr>
            <w:tcW w:w="158"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left"/>
              <w:rPr/>
            </w:pPr>
            <w:r>
              <w:rPr/>
              <w:t>Address:</w:t>
            </w:r>
          </w:p>
        </w:tc>
        <w:tc>
          <w:tcPr>
            <w:tcW w:w="8228" w:type="dxa"/>
            <w:tcBorders/>
            <w:vAlign w:val="center"/>
          </w:tcPr>
          <w:p>
            <w:pPr>
              <w:pStyle w:val="TableContents"/>
              <w:bidi w:val="0"/>
              <w:spacing w:before="0" w:after="283"/>
              <w:jc w:val="left"/>
              <w:rPr/>
            </w:pPr>
            <w:r>
              <w:rPr/>
              <w:t>2nd Floor Water’s Edge Building</w:t>
            </w:r>
          </w:p>
        </w:tc>
      </w:tr>
      <w:tr>
        <w:trPr/>
        <w:tc>
          <w:tcPr>
            <w:tcW w:w="158"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left"/>
              <w:rPr/>
            </w:pPr>
            <w:r>
              <w:rPr/>
              <w:t> </w:t>
            </w:r>
          </w:p>
        </w:tc>
        <w:tc>
          <w:tcPr>
            <w:tcW w:w="8228" w:type="dxa"/>
            <w:tcBorders/>
            <w:vAlign w:val="center"/>
          </w:tcPr>
          <w:p>
            <w:pPr>
              <w:pStyle w:val="TableContents"/>
              <w:bidi w:val="0"/>
              <w:spacing w:before="0" w:after="283"/>
              <w:jc w:val="left"/>
              <w:rPr/>
            </w:pPr>
            <w:r>
              <w:rPr/>
              <w:t>Wickhams Cay II, Road Town</w:t>
            </w:r>
          </w:p>
        </w:tc>
      </w:tr>
      <w:tr>
        <w:trPr/>
        <w:tc>
          <w:tcPr>
            <w:tcW w:w="158"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left"/>
              <w:rPr/>
            </w:pPr>
            <w:r>
              <w:rPr/>
              <w:t> </w:t>
            </w:r>
          </w:p>
        </w:tc>
        <w:tc>
          <w:tcPr>
            <w:tcW w:w="8228" w:type="dxa"/>
            <w:tcBorders/>
            <w:vAlign w:val="center"/>
          </w:tcPr>
          <w:p>
            <w:pPr>
              <w:pStyle w:val="TableContents"/>
              <w:bidi w:val="0"/>
              <w:spacing w:before="0" w:after="283"/>
              <w:jc w:val="left"/>
              <w:rPr/>
            </w:pPr>
            <w:r>
              <w:rPr/>
              <w:t>Tortola, VG 1110, British Virgin Islands</w:t>
            </w:r>
          </w:p>
        </w:tc>
      </w:tr>
      <w:tr>
        <w:trPr/>
        <w:tc>
          <w:tcPr>
            <w:tcW w:w="158"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pPr>
            <w:r>
              <w:rPr/>
              <w:t>Email:</w:t>
            </w:r>
          </w:p>
        </w:tc>
        <w:tc>
          <w:tcPr>
            <w:tcW w:w="8228"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5"/>
        <w:gridCol w:w="577"/>
        <w:gridCol w:w="9553"/>
      </w:tblGrid>
      <w:tr>
        <w:trPr/>
        <w:tc>
          <w:tcPr>
            <w:tcW w:w="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pPr>
            <w:r>
              <w:rPr/>
              <w:t>(ii)</w:t>
            </w:r>
          </w:p>
        </w:tc>
        <w:tc>
          <w:tcPr>
            <w:tcW w:w="9553" w:type="dxa"/>
            <w:tcBorders/>
            <w:vAlign w:val="center"/>
          </w:tcPr>
          <w:p>
            <w:pPr>
              <w:pStyle w:val="TableContents"/>
              <w:bidi w:val="0"/>
              <w:spacing w:before="0" w:after="283"/>
              <w:jc w:val="both"/>
              <w:rPr/>
            </w:pPr>
            <w:r>
              <w:rPr/>
              <w:t>Address for notices or communications to Party B:</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1"/>
        <w:gridCol w:w="2316"/>
        <w:gridCol w:w="7688"/>
      </w:tblGrid>
      <w:tr>
        <w:trPr/>
        <w:tc>
          <w:tcPr>
            <w:tcW w:w="201" w:type="dxa"/>
            <w:tcBorders/>
            <w:vAlign w:val="center"/>
          </w:tcPr>
          <w:p>
            <w:pPr>
              <w:pStyle w:val="TableContents"/>
              <w:bidi w:val="0"/>
              <w:spacing w:before="0" w:after="283"/>
              <w:jc w:val="left"/>
              <w:rPr/>
            </w:pPr>
            <w:r>
              <w:rPr/>
              <w:t> </w:t>
            </w:r>
          </w:p>
        </w:tc>
        <w:tc>
          <w:tcPr>
            <w:tcW w:w="2316" w:type="dxa"/>
            <w:tcBorders/>
            <w:vAlign w:val="center"/>
          </w:tcPr>
          <w:p>
            <w:pPr>
              <w:pStyle w:val="TableContents"/>
              <w:bidi w:val="0"/>
              <w:spacing w:before="0" w:after="283"/>
              <w:jc w:val="left"/>
              <w:rPr/>
            </w:pPr>
            <w:r>
              <w:rPr/>
              <w:t> </w:t>
            </w:r>
          </w:p>
        </w:tc>
        <w:tc>
          <w:tcPr>
            <w:tcW w:w="7688" w:type="dxa"/>
            <w:tcBorders/>
            <w:vAlign w:val="center"/>
          </w:tcPr>
          <w:p>
            <w:pPr>
              <w:pStyle w:val="TableContents"/>
              <w:bidi w:val="0"/>
              <w:spacing w:before="0" w:after="283"/>
              <w:jc w:val="both"/>
              <w:rPr>
                <w:b/>
              </w:rPr>
            </w:pPr>
            <w:r>
              <w:rPr>
                <w:b/>
              </w:rPr>
              <w:t>Sono Group N.V.</w:t>
            </w:r>
          </w:p>
        </w:tc>
      </w:tr>
      <w:tr>
        <w:trPr/>
        <w:tc>
          <w:tcPr>
            <w:tcW w:w="201"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pPr>
            <w:r>
              <w:rPr/>
              <w:t>Address:</w:t>
            </w:r>
          </w:p>
        </w:tc>
        <w:tc>
          <w:tcPr>
            <w:tcW w:w="7688" w:type="dxa"/>
            <w:tcBorders/>
            <w:vAlign w:val="center"/>
          </w:tcPr>
          <w:p>
            <w:pPr>
              <w:pStyle w:val="TableContents"/>
              <w:bidi w:val="0"/>
              <w:spacing w:before="0" w:after="283"/>
              <w:jc w:val="both"/>
              <w:rPr/>
            </w:pPr>
            <w:r>
              <w:rPr/>
              <w:t>Waldmeisterstrasse 93</w:t>
            </w:r>
          </w:p>
        </w:tc>
      </w:tr>
      <w:tr>
        <w:trPr/>
        <w:tc>
          <w:tcPr>
            <w:tcW w:w="201" w:type="dxa"/>
            <w:tcBorders/>
            <w:vAlign w:val="center"/>
          </w:tcPr>
          <w:p>
            <w:pPr>
              <w:pStyle w:val="TableContents"/>
              <w:bidi w:val="0"/>
              <w:spacing w:before="0" w:after="283"/>
              <w:jc w:val="left"/>
              <w:rPr/>
            </w:pPr>
            <w:r>
              <w:rPr/>
              <w:t> </w:t>
            </w:r>
          </w:p>
        </w:tc>
        <w:tc>
          <w:tcPr>
            <w:tcW w:w="2316" w:type="dxa"/>
            <w:tcBorders/>
            <w:vAlign w:val="center"/>
          </w:tcPr>
          <w:p>
            <w:pPr>
              <w:pStyle w:val="TableContents"/>
              <w:bidi w:val="0"/>
              <w:spacing w:before="0" w:after="283"/>
              <w:jc w:val="left"/>
              <w:rPr/>
            </w:pPr>
            <w:r>
              <w:rPr/>
              <w:t> </w:t>
            </w:r>
          </w:p>
        </w:tc>
        <w:tc>
          <w:tcPr>
            <w:tcW w:w="7688" w:type="dxa"/>
            <w:tcBorders/>
            <w:vAlign w:val="center"/>
          </w:tcPr>
          <w:p>
            <w:pPr>
              <w:pStyle w:val="TableContents"/>
              <w:bidi w:val="0"/>
              <w:spacing w:before="0" w:after="283"/>
              <w:jc w:val="both"/>
              <w:rPr/>
            </w:pPr>
            <w:r>
              <w:rPr/>
              <w:t>80935 Munich</w:t>
            </w:r>
          </w:p>
        </w:tc>
      </w:tr>
      <w:tr>
        <w:trPr/>
        <w:tc>
          <w:tcPr>
            <w:tcW w:w="201" w:type="dxa"/>
            <w:tcBorders/>
            <w:vAlign w:val="center"/>
          </w:tcPr>
          <w:p>
            <w:pPr>
              <w:pStyle w:val="TableContents"/>
              <w:bidi w:val="0"/>
              <w:spacing w:before="0" w:after="283"/>
              <w:jc w:val="left"/>
              <w:rPr/>
            </w:pPr>
            <w:r>
              <w:rPr/>
              <w:t> </w:t>
            </w:r>
          </w:p>
        </w:tc>
        <w:tc>
          <w:tcPr>
            <w:tcW w:w="2316" w:type="dxa"/>
            <w:tcBorders/>
            <w:vAlign w:val="center"/>
          </w:tcPr>
          <w:p>
            <w:pPr>
              <w:pStyle w:val="TableContents"/>
              <w:bidi w:val="0"/>
              <w:spacing w:before="0" w:after="283"/>
              <w:jc w:val="left"/>
              <w:rPr/>
            </w:pPr>
            <w:r>
              <w:rPr/>
              <w:t> </w:t>
            </w:r>
          </w:p>
        </w:tc>
        <w:tc>
          <w:tcPr>
            <w:tcW w:w="7688" w:type="dxa"/>
            <w:tcBorders/>
            <w:vAlign w:val="center"/>
          </w:tcPr>
          <w:p>
            <w:pPr>
              <w:pStyle w:val="TableContents"/>
              <w:bidi w:val="0"/>
              <w:spacing w:before="0" w:after="283"/>
              <w:jc w:val="both"/>
              <w:rPr/>
            </w:pPr>
            <w:r>
              <w:rPr/>
              <w:t>Federal Republic of Germany</w:t>
            </w:r>
          </w:p>
        </w:tc>
      </w:tr>
      <w:tr>
        <w:trPr/>
        <w:tc>
          <w:tcPr>
            <w:tcW w:w="201"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pPr>
            <w:r>
              <w:rPr/>
              <w:t>Email:</w:t>
            </w:r>
          </w:p>
        </w:tc>
        <w:tc>
          <w:tcPr>
            <w:tcW w:w="7688" w:type="dxa"/>
            <w:tcBorders/>
            <w:vAlign w:val="center"/>
          </w:tcPr>
          <w:p>
            <w:pPr>
              <w:pStyle w:val="TableContents"/>
              <w:bidi w:val="0"/>
              <w:spacing w:before="0" w:after="283"/>
              <w:jc w:val="both"/>
              <w:rPr/>
            </w:pPr>
            <w:r>
              <w:rPr/>
              <w: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
        <w:gridCol w:w="340"/>
        <w:gridCol w:w="9821"/>
      </w:tblGrid>
      <w:tr>
        <w:trPr/>
        <w:tc>
          <w:tcPr>
            <w:tcW w:w="4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(b)</w:t>
            </w:r>
          </w:p>
        </w:tc>
        <w:tc>
          <w:tcPr>
            <w:tcW w:w="9821" w:type="dxa"/>
            <w:tcBorders/>
            <w:vAlign w:val="center"/>
          </w:tcPr>
          <w:p>
            <w:pPr>
              <w:pStyle w:val="TableContents"/>
              <w:bidi w:val="0"/>
              <w:spacing w:before="0" w:after="283"/>
              <w:jc w:val="both"/>
              <w:rPr/>
            </w:pPr>
            <w:r>
              <w:rPr>
                <w:b/>
                <w:i/>
              </w:rPr>
              <w:t>Process Agent.</w:t>
            </w:r>
            <w:r>
              <w:rPr/>
              <w:t xml:space="preserve"> For the purpose of Section 13(c) (</w:t>
            </w:r>
            <w:r>
              <w:rPr>
                <w:i/>
              </w:rPr>
              <w:t>Service of Process</w:t>
            </w:r>
            <w:r>
              <w:rPr/>
              <w:t>) of this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9"/>
        <w:gridCol w:w="601"/>
        <w:gridCol w:w="9505"/>
      </w:tblGrid>
      <w:tr>
        <w:trPr/>
        <w:tc>
          <w:tcPr>
            <w:tcW w:w="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pPr>
            <w:r>
              <w:rPr/>
              <w:t>(i)</w:t>
            </w:r>
          </w:p>
        </w:tc>
        <w:tc>
          <w:tcPr>
            <w:tcW w:w="9505" w:type="dxa"/>
            <w:tcBorders/>
            <w:vAlign w:val="center"/>
          </w:tcPr>
          <w:p>
            <w:pPr>
              <w:pStyle w:val="TableContents"/>
              <w:bidi w:val="0"/>
              <w:spacing w:before="0" w:after="283"/>
              <w:jc w:val="both"/>
              <w:rPr/>
            </w:pPr>
            <w:r>
              <w:rPr/>
              <w:t>Party A appoints as its Process Agent:</w:t>
            </w:r>
          </w:p>
        </w:tc>
      </w:tr>
    </w:tbl>
    <w:p>
      <w:pPr>
        <w:pStyle w:val="TextBody"/>
        <w:bidi w:val="0"/>
        <w:spacing w:before="0" w:after="0"/>
        <w:jc w:val="left"/>
        <w:rPr/>
      </w:pPr>
      <w:r>
        <w:rPr/>
        <w:t> </w:t>
      </w:r>
    </w:p>
    <w:p>
      <w:pPr>
        <w:pStyle w:val="TextBody"/>
        <w:bidi w:val="0"/>
        <w:spacing w:before="0" w:after="0"/>
        <w:ind w:left="3600" w:right="0" w:hanging="1440"/>
        <w:jc w:val="both"/>
        <w:rPr>
          <w:b/>
          <w:sz w:val="20"/>
        </w:rPr>
      </w:pPr>
      <w:r>
        <w:rPr>
          <w:b/>
          <w:sz w:val="20"/>
        </w:rPr>
        <w:t>Blockchain Access UK Limited</w:t>
      </w:r>
    </w:p>
    <w:p>
      <w:pPr>
        <w:pStyle w:val="TextBody"/>
        <w:bidi w:val="0"/>
        <w:spacing w:before="0" w:after="0"/>
        <w:ind w:left="3600" w:right="0" w:hanging="1440"/>
        <w:jc w:val="both"/>
        <w:rPr>
          <w:sz w:val="20"/>
        </w:rPr>
      </w:pPr>
      <w:r>
        <w:rPr>
          <w:sz w:val="20"/>
        </w:rPr>
        <w:t>Minshull House, 67 Wellington Road North</w:t>
      </w:r>
    </w:p>
    <w:p>
      <w:pPr>
        <w:pStyle w:val="TextBody"/>
        <w:bidi w:val="0"/>
        <w:spacing w:before="0" w:after="0"/>
        <w:ind w:left="3600" w:right="0" w:hanging="1440"/>
        <w:jc w:val="both"/>
        <w:rPr>
          <w:sz w:val="20"/>
        </w:rPr>
      </w:pPr>
      <w:r>
        <w:rPr>
          <w:sz w:val="20"/>
        </w:rPr>
        <w:t>Cheshire, SK4 2LP, United Kingdom</w:t>
      </w:r>
    </w:p>
    <w:p>
      <w:pPr>
        <w:pStyle w:val="TextBody"/>
        <w:bidi w:val="0"/>
        <w:spacing w:before="0" w:after="0"/>
        <w:ind w:left="3600" w:right="0" w:hanging="1440"/>
        <w:jc w:val="both"/>
        <w:rPr/>
      </w:pPr>
      <w:r>
        <w:rPr/>
        <w:t> </w:t>
      </w:r>
    </w:p>
    <w:tbl>
      <w:tblPr>
        <w:tblW w:w="5000" w:type="pct"/>
        <w:jc w:val="left"/>
        <w:tblInd w:w="0" w:type="dxa"/>
        <w:tblLayout w:type="fixed"/>
        <w:tblCellMar>
          <w:top w:w="0" w:type="dxa"/>
          <w:left w:w="0" w:type="dxa"/>
          <w:bottom w:w="0" w:type="dxa"/>
          <w:right w:w="0" w:type="dxa"/>
        </w:tblCellMar>
      </w:tblPr>
      <w:tblGrid>
        <w:gridCol w:w="71"/>
        <w:gridCol w:w="550"/>
        <w:gridCol w:w="9584"/>
      </w:tblGrid>
      <w:tr>
        <w:trPr/>
        <w:tc>
          <w:tcPr>
            <w:tcW w:w="7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pPr>
            <w:r>
              <w:rPr/>
              <w:t>(ii)</w:t>
            </w:r>
          </w:p>
        </w:tc>
        <w:tc>
          <w:tcPr>
            <w:tcW w:w="9584" w:type="dxa"/>
            <w:tcBorders/>
            <w:vAlign w:val="center"/>
          </w:tcPr>
          <w:p>
            <w:pPr>
              <w:pStyle w:val="TableContents"/>
              <w:bidi w:val="0"/>
              <w:spacing w:before="0" w:after="283"/>
              <w:jc w:val="both"/>
              <w:rPr/>
            </w:pPr>
            <w:r>
              <w:rPr/>
              <w:t>Party B appoints as its Process Agent: Not applicable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5"/>
        <w:gridCol w:w="404"/>
        <w:gridCol w:w="9746"/>
      </w:tblGrid>
      <w:tr>
        <w:trPr/>
        <w:tc>
          <w:tcPr>
            <w:tcW w:w="5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pPr>
            <w:r>
              <w:rPr/>
              <w:t>(c)</w:t>
            </w:r>
          </w:p>
        </w:tc>
        <w:tc>
          <w:tcPr>
            <w:tcW w:w="9746" w:type="dxa"/>
            <w:tcBorders/>
            <w:vAlign w:val="center"/>
          </w:tcPr>
          <w:p>
            <w:pPr>
              <w:pStyle w:val="TableContents"/>
              <w:bidi w:val="0"/>
              <w:spacing w:before="0" w:after="283"/>
              <w:jc w:val="both"/>
              <w:rPr/>
            </w:pPr>
            <w:r>
              <w:rPr>
                <w:b/>
                <w:i/>
              </w:rPr>
              <w:t>Offices.</w:t>
            </w:r>
            <w:r>
              <w:rPr/>
              <w:t xml:space="preserve"> The provisions of Section 10(a) will apply to this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(d)</w:t>
            </w:r>
          </w:p>
        </w:tc>
        <w:tc>
          <w:tcPr>
            <w:tcW w:w="9892" w:type="dxa"/>
            <w:tcBorders/>
            <w:vAlign w:val="center"/>
          </w:tcPr>
          <w:p>
            <w:pPr>
              <w:pStyle w:val="TableContents"/>
              <w:bidi w:val="0"/>
              <w:spacing w:before="0" w:after="283"/>
              <w:jc w:val="both"/>
              <w:rPr/>
            </w:pPr>
            <w:r>
              <w:rPr>
                <w:b/>
                <w:i/>
              </w:rPr>
              <w:t>Multibranch Party.</w:t>
            </w:r>
            <w:r>
              <w:rPr/>
              <w:t xml:space="preserve"> For the purpose of Section 10(b) of this Agreement, neither Party A nor Party B is a Multibranch Party.</w:t>
            </w:r>
          </w:p>
        </w:tc>
      </w:tr>
    </w:tbl>
    <w:p>
      <w:pPr>
        <w:pStyle w:val="TextBody"/>
        <w:bidi w:val="0"/>
        <w:spacing w:before="0" w:after="0"/>
        <w:jc w:val="left"/>
        <w:rPr/>
      </w:pPr>
      <w:r>
        <w:rPr/>
        <w:t> </w:t>
      </w:r>
    </w:p>
    <w:p>
      <w:pPr>
        <w:pStyle w:val="TextBody"/>
        <w:bidi w:val="0"/>
        <w:spacing w:before="0" w:after="0"/>
        <w:jc w:val="center"/>
        <w:rPr>
          <w:sz w:val="20"/>
          <w:bdr w:val="single" w:sz="32" w:space="1" w:color="000000"/>
        </w:rPr>
      </w:pPr>
      <w:r>
        <w:rPr>
          <w:sz w:val="20"/>
          <w:bdr w:val="single" w:sz="32" w:space="1" w:color="000000"/>
        </w:rPr>
        <w:t>6</w:t>
      </w:r>
    </w:p>
    <w:p>
      <w:pPr>
        <w:pStyle w:val="TextBody"/>
        <w:bidi w:val="0"/>
        <w:spacing w:before="0" w:after="0"/>
        <w:ind w:left="0" w:right="0" w:hanging="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(e)</w:t>
            </w:r>
          </w:p>
        </w:tc>
        <w:tc>
          <w:tcPr>
            <w:tcW w:w="9964" w:type="dxa"/>
            <w:tcBorders/>
            <w:vAlign w:val="center"/>
          </w:tcPr>
          <w:p>
            <w:pPr>
              <w:pStyle w:val="TableContents"/>
              <w:bidi w:val="0"/>
              <w:spacing w:before="0" w:after="283"/>
              <w:jc w:val="both"/>
              <w:rPr/>
            </w:pPr>
            <w:r>
              <w:rPr>
                <w:b/>
                <w:i/>
              </w:rPr>
              <w:t>Calculation Agent.</w:t>
            </w:r>
            <w:r>
              <w:rPr/>
              <w:t xml:space="preserve"> The Calculation Agent is Party A unless (i) an Event of Default or a Termination Event occurs and is continuing in respect of which Party A is the Defaulting Party or the sole Affected Party, respectively, in which case Party B shall appoint a third party to act as Calculation Agent; or (ii) the Calculation Agent is otherwise specified in a Confirmation in relation to the relevant Transaction. Each party agrees that the Calculation Agent is not acting as a fiduciary for, or as an advisor to, such party in respect of its duties as Calculation Agent in connection with any Transaction. In the event that the party which is not the Calculation Agent disputes the calculations of the Calculation Agent, the parties shall first seek to resolve the dispute in good faith and in a commercially reasonable manner. In the event the parties are unable to agree on a final calculation, the parties will designate a mutually acceptable leading market participant in the relevant market to act as substitute Calculation Agent (the “</w:t>
            </w:r>
            <w:r>
              <w:rPr>
                <w:b/>
                <w:i/>
              </w:rPr>
              <w:t>Substitute Calculation Agent</w:t>
            </w:r>
            <w:r>
              <w:rPr/>
              <w:t>”) whose fees and expenses shall be met equally by both parties; provided, however, that if the calculation by the Substitute Calculation Agent is substantially similar to the party acting as Calculation Agent, then the fees and expenses of the Substitute Calculation Agent shall be the sole responsibility of the disputing party. If the parties cannot agree on a Substitute Calculation Agent, each party shall nominate a recognized leading market participant in the market who shall together elect the “Substitute Calculation Agent”. Any determinations by the Substitute Calculation Agent shall be binding absent manifest error.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87"/>
        <w:gridCol w:w="9981"/>
      </w:tblGrid>
      <w:tr>
        <w:trPr/>
        <w:tc>
          <w:tcPr>
            <w:tcW w:w="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(f)</w:t>
            </w:r>
          </w:p>
        </w:tc>
        <w:tc>
          <w:tcPr>
            <w:tcW w:w="9981" w:type="dxa"/>
            <w:tcBorders/>
            <w:vAlign w:val="center"/>
          </w:tcPr>
          <w:p>
            <w:pPr>
              <w:pStyle w:val="TableContents"/>
              <w:bidi w:val="0"/>
              <w:spacing w:before="0" w:after="283"/>
              <w:jc w:val="both"/>
              <w:rPr/>
            </w:pPr>
            <w:r>
              <w:rPr>
                <w:b/>
                <w:i/>
              </w:rPr>
              <w:t>Credit Support Document.</w:t>
            </w:r>
            <w:r>
              <w:rPr/>
              <w:t xml:space="preserve"> “</w:t>
            </w:r>
            <w:r>
              <w:rPr>
                <w:b/>
                <w:i/>
              </w:rPr>
              <w:t>Credit Support Document</w:t>
            </w:r>
            <w:r>
              <w:rPr/>
              <w:t>” means, in relation to Party A and Party B, the ISDA Credit Support Annex (Bilateral Form – Transfer – ISDA Agreements Subject to English Law) dated as of the date hereof, which supplements, forms part of and is subject to this Agreement (as amended, amended and restated, replaced, supplemented or otherwise modified from time to time).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3"/>
        <w:gridCol w:w="486"/>
        <w:gridCol w:w="9656"/>
      </w:tblGrid>
      <w:tr>
        <w:trPr/>
        <w:tc>
          <w:tcPr>
            <w:tcW w:w="6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pPr>
            <w:r>
              <w:rPr/>
              <w:t>(g)</w:t>
            </w:r>
          </w:p>
        </w:tc>
        <w:tc>
          <w:tcPr>
            <w:tcW w:w="9656" w:type="dxa"/>
            <w:tcBorders/>
            <w:vAlign w:val="center"/>
          </w:tcPr>
          <w:p>
            <w:pPr>
              <w:pStyle w:val="TableContents"/>
              <w:bidi w:val="0"/>
              <w:spacing w:before="0" w:after="283"/>
              <w:jc w:val="both"/>
              <w:rPr/>
            </w:pPr>
            <w:r>
              <w:rPr>
                <w:b/>
                <w:i/>
              </w:rPr>
              <w:t>Credit Support Provider.</w:t>
            </w:r>
            <w:r>
              <w:rPr/>
              <w:t xml:space="preserve"> “</w:t>
            </w:r>
            <w:r>
              <w:rPr>
                <w:b/>
                <w:i/>
              </w:rPr>
              <w:t>Credit Support Provider</w:t>
            </w:r>
            <w:r>
              <w:rPr/>
              <w:t>” means: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8"/>
        <w:gridCol w:w="717"/>
        <w:gridCol w:w="9370"/>
      </w:tblGrid>
      <w:tr>
        <w:trPr/>
        <w:tc>
          <w:tcPr>
            <w:tcW w:w="11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pPr>
            <w:r>
              <w:rPr/>
              <w:t>(i)</w:t>
            </w:r>
          </w:p>
        </w:tc>
        <w:tc>
          <w:tcPr>
            <w:tcW w:w="9370" w:type="dxa"/>
            <w:tcBorders/>
            <w:vAlign w:val="center"/>
          </w:tcPr>
          <w:p>
            <w:pPr>
              <w:pStyle w:val="TableContents"/>
              <w:bidi w:val="0"/>
              <w:spacing w:before="0" w:after="283"/>
              <w:jc w:val="both"/>
              <w:rPr/>
            </w:pPr>
            <w:r>
              <w:rPr/>
              <w:t>in relation to Party A:</w:t>
              <w:tab/>
              <w:t>none;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
        <w:gridCol w:w="1016"/>
        <w:gridCol w:w="9057"/>
      </w:tblGrid>
      <w:tr>
        <w:trPr/>
        <w:tc>
          <w:tcPr>
            <w:tcW w:w="13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pPr>
            <w:r>
              <w:rPr/>
              <w:t>(ii)</w:t>
            </w:r>
          </w:p>
        </w:tc>
        <w:tc>
          <w:tcPr>
            <w:tcW w:w="9057" w:type="dxa"/>
            <w:tcBorders/>
            <w:vAlign w:val="center"/>
          </w:tcPr>
          <w:p>
            <w:pPr>
              <w:pStyle w:val="TableContents"/>
              <w:bidi w:val="0"/>
              <w:spacing w:before="0" w:after="283"/>
              <w:jc w:val="both"/>
              <w:rPr/>
            </w:pPr>
            <w:r>
              <w:rPr/>
              <w:t>in relation to Party B:</w:t>
              <w:tab/>
              <w:t>none.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87"/>
        <w:gridCol w:w="9881"/>
      </w:tblGrid>
      <w:tr>
        <w:trPr/>
        <w:tc>
          <w:tcPr>
            <w:tcW w:w="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(h)</w:t>
            </w:r>
          </w:p>
        </w:tc>
        <w:tc>
          <w:tcPr>
            <w:tcW w:w="9881" w:type="dxa"/>
            <w:tcBorders/>
            <w:vAlign w:val="center"/>
          </w:tcPr>
          <w:p>
            <w:pPr>
              <w:pStyle w:val="TableContents"/>
              <w:bidi w:val="0"/>
              <w:spacing w:before="0" w:after="283"/>
              <w:jc w:val="both"/>
              <w:rPr/>
            </w:pPr>
            <w:r>
              <w:rPr>
                <w:b/>
                <w:i/>
              </w:rPr>
              <w:t>Governing Law.</w:t>
            </w:r>
            <w:r>
              <w:rPr/>
              <w:t xml:space="preserve"> Sections 13(a) and (b) of this Agreement shall be deleted and replaced with the following:</w:t>
            </w:r>
          </w:p>
        </w:tc>
      </w:tr>
    </w:tbl>
    <w:p>
      <w:pPr>
        <w:pStyle w:val="TextBody"/>
        <w:bidi w:val="0"/>
        <w:spacing w:before="0" w:after="0"/>
        <w:jc w:val="left"/>
        <w:rPr/>
      </w:pPr>
      <w:r>
        <w:rPr/>
        <w:t> </w:t>
      </w:r>
    </w:p>
    <w:p>
      <w:pPr>
        <w:pStyle w:val="TextBody"/>
        <w:bidi w:val="0"/>
        <w:spacing w:before="0" w:after="0"/>
        <w:ind w:left="709" w:right="0" w:hanging="0"/>
        <w:jc w:val="both"/>
        <w:rPr/>
      </w:pPr>
      <w:r>
        <w:rPr/>
        <w:t>“</w:t>
      </w:r>
      <w:r>
        <w:rPr>
          <w:sz w:val="20"/>
        </w:rPr>
        <w:t>(a)</w:t>
        <w:tab/>
      </w:r>
      <w:r>
        <w:rPr>
          <w:b/>
          <w:i/>
          <w:sz w:val="20"/>
        </w:rPr>
        <w:t>Governing Law</w:t>
      </w:r>
      <w:r>
        <w:rPr>
          <w:sz w:val="20"/>
        </w:rPr>
        <w:t>. This Agreement and any contractual or non-contractual obligations arising out of or in relation to this Agreement shall be governed by and construed in accordance with the laws of England and Wales.</w:t>
      </w:r>
    </w:p>
    <w:p>
      <w:pPr>
        <w:pStyle w:val="TextBody"/>
        <w:bidi w:val="0"/>
        <w:spacing w:before="0" w:after="0"/>
        <w:ind w:left="709" w:right="0" w:hanging="0"/>
        <w:jc w:val="both"/>
        <w:rPr/>
      </w:pPr>
      <w:r>
        <w:rPr/>
        <w:t> </w:t>
      </w:r>
    </w:p>
    <w:p>
      <w:pPr>
        <w:pStyle w:val="TextBody"/>
        <w:bidi w:val="0"/>
        <w:spacing w:before="0" w:after="0"/>
        <w:ind w:left="709" w:right="0" w:hanging="0"/>
        <w:jc w:val="both"/>
        <w:rPr>
          <w:sz w:val="20"/>
        </w:rPr>
      </w:pPr>
      <w:r>
        <w:rPr>
          <w:sz w:val="20"/>
        </w:rPr>
        <w:t>(b)       </w:t>
      </w:r>
      <w:r>
        <w:rPr>
          <w:b/>
          <w:i/>
          <w:sz w:val="20"/>
        </w:rPr>
        <w:t>Jurisdiction</w:t>
      </w:r>
      <w:r>
        <w:rPr>
          <w:sz w:val="20"/>
        </w:rPr>
        <w:t>. With respect to any suit, action or proceedings relating to any dispute arising out of or in connection with this Agreement (“</w:t>
      </w:r>
      <w:r>
        <w:rPr>
          <w:b/>
          <w:i/>
          <w:sz w:val="20"/>
        </w:rPr>
        <w:t>Proceedings</w:t>
      </w:r>
      <w:r>
        <w:rPr>
          <w:sz w:val="20"/>
        </w:rPr>
        <w:t>”), each party:</w:t>
      </w:r>
    </w:p>
    <w:p>
      <w:pPr>
        <w:pStyle w:val="TextBody"/>
        <w:bidi w:val="0"/>
        <w:spacing w:before="0" w:after="0"/>
        <w:ind w:left="709" w:right="0" w:hanging="0"/>
        <w:jc w:val="both"/>
        <w:rPr/>
      </w:pPr>
      <w:r>
        <w:rPr/>
        <w:t> </w:t>
      </w:r>
    </w:p>
    <w:p>
      <w:pPr>
        <w:pStyle w:val="TextBody"/>
        <w:bidi w:val="0"/>
        <w:spacing w:before="0" w:after="0"/>
        <w:ind w:left="720" w:right="0" w:firstLine="720"/>
        <w:jc w:val="both"/>
        <w:rPr>
          <w:sz w:val="20"/>
        </w:rPr>
      </w:pPr>
      <w:r>
        <w:rPr>
          <w:sz w:val="20"/>
        </w:rPr>
        <w:t>(1)       irrevocably submits to the exclusive jurisdiction of the courts of England and Wales; and</w:t>
      </w:r>
    </w:p>
    <w:p>
      <w:pPr>
        <w:pStyle w:val="TextBody"/>
        <w:bidi w:val="0"/>
        <w:spacing w:before="0" w:after="0"/>
        <w:ind w:left="720" w:right="0" w:firstLine="720"/>
        <w:jc w:val="both"/>
        <w:rPr/>
      </w:pPr>
      <w:r>
        <w:rPr/>
        <w:t> </w:t>
      </w:r>
    </w:p>
    <w:p>
      <w:pPr>
        <w:pStyle w:val="TextBody"/>
        <w:bidi w:val="0"/>
        <w:spacing w:before="0" w:after="0"/>
        <w:ind w:left="720" w:right="0" w:firstLine="720"/>
        <w:jc w:val="both"/>
        <w:rPr>
          <w:sz w:val="20"/>
        </w:rPr>
      </w:pPr>
      <w:r>
        <w:rPr>
          <w:sz w:val="20"/>
        </w:rPr>
        <w:t>(2)       waives any objection which it may have at any time to the laying of venue of any Proceedings brought in any such court, waives any claim that such Proceedings have been brought in an inconvenient forum and further waives the right to object, with respect to such Proceedings, that such court does not have any jurisdiction over such party.”</w:t>
      </w:r>
    </w:p>
    <w:p>
      <w:pPr>
        <w:pStyle w:val="TextBody"/>
        <w:bidi w:val="0"/>
        <w:spacing w:before="0" w:after="0"/>
        <w:ind w:left="720" w:right="0" w:firstLine="720"/>
        <w:jc w:val="both"/>
        <w:rPr/>
      </w:pPr>
      <w:r>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(i)</w:t>
            </w:r>
          </w:p>
        </w:tc>
        <w:tc>
          <w:tcPr>
            <w:tcW w:w="9974" w:type="dxa"/>
            <w:tcBorders/>
            <w:vAlign w:val="center"/>
          </w:tcPr>
          <w:p>
            <w:pPr>
              <w:pStyle w:val="TableContents"/>
              <w:bidi w:val="0"/>
              <w:spacing w:before="0" w:after="283"/>
              <w:jc w:val="both"/>
              <w:rPr/>
            </w:pPr>
            <w:r>
              <w:rPr>
                <w:b/>
                <w:i/>
              </w:rPr>
              <w:t>Netting of Payments.</w:t>
            </w:r>
            <w:r>
              <w:rPr/>
              <w:t xml:space="preserve"> “</w:t>
            </w:r>
            <w:r>
              <w:rPr>
                <w:b/>
                <w:i/>
              </w:rPr>
              <w:t>Multiple Transaction Payment Netting</w:t>
            </w:r>
            <w:r>
              <w:rPr/>
              <w:t>” will apply for the purpose of Section 2(c) (</w:t>
            </w:r>
            <w:r>
              <w:rPr>
                <w:i/>
              </w:rPr>
              <w:t>Netting of Payments</w:t>
            </w:r>
            <w:r>
              <w:rPr/>
              <w:t>) of this Agreement to all Transactions under this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
        <w:gridCol w:w="315"/>
        <w:gridCol w:w="9839"/>
      </w:tblGrid>
      <w:tr>
        <w:trPr/>
        <w:tc>
          <w:tcPr>
            <w:tcW w:w="5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t>(j)</w:t>
            </w:r>
          </w:p>
        </w:tc>
        <w:tc>
          <w:tcPr>
            <w:tcW w:w="9839" w:type="dxa"/>
            <w:tcBorders/>
            <w:vAlign w:val="center"/>
          </w:tcPr>
          <w:p>
            <w:pPr>
              <w:pStyle w:val="TableContents"/>
              <w:bidi w:val="0"/>
              <w:spacing w:before="0" w:after="283"/>
              <w:jc w:val="both"/>
              <w:rPr/>
            </w:pPr>
            <w:r>
              <w:rPr/>
              <w:t>“</w:t>
            </w:r>
            <w:r>
              <w:rPr>
                <w:b/>
                <w:i/>
              </w:rPr>
              <w:t>Affiliate</w:t>
            </w:r>
            <w:r>
              <w:rPr/>
              <w:t>” will have the meaning specified in Section 14 of this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
        <w:gridCol w:w="310"/>
        <w:gridCol w:w="9855"/>
      </w:tblGrid>
      <w:tr>
        <w:trPr/>
        <w:tc>
          <w:tcPr>
            <w:tcW w:w="4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(k)</w:t>
            </w:r>
          </w:p>
        </w:tc>
        <w:tc>
          <w:tcPr>
            <w:tcW w:w="9855" w:type="dxa"/>
            <w:tcBorders/>
            <w:vAlign w:val="center"/>
          </w:tcPr>
          <w:p>
            <w:pPr>
              <w:pStyle w:val="TableContents"/>
              <w:bidi w:val="0"/>
              <w:spacing w:before="0" w:after="283"/>
              <w:jc w:val="both"/>
              <w:rPr/>
            </w:pPr>
            <w:r>
              <w:rPr>
                <w:b/>
                <w:i/>
              </w:rPr>
              <w:t>Absence of Litigation.</w:t>
            </w:r>
            <w:r>
              <w:rPr/>
              <w:t xml:space="preserve"> For the purpose of Section 3(c) (</w:t>
            </w:r>
            <w:r>
              <w:rPr>
                <w:i/>
              </w:rPr>
              <w:t>Absence of Litigation</w:t>
            </w:r>
            <w:r>
              <w:rPr/>
              <w:t>) of this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6"/>
        <w:gridCol w:w="405"/>
        <w:gridCol w:w="9734"/>
      </w:tblGrid>
      <w:tr>
        <w:trPr/>
        <w:tc>
          <w:tcPr>
            <w:tcW w:w="6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pPr>
            <w:r>
              <w:rPr/>
              <w:t>(i)</w:t>
            </w:r>
          </w:p>
        </w:tc>
        <w:tc>
          <w:tcPr>
            <w:tcW w:w="9734" w:type="dxa"/>
            <w:tcBorders/>
            <w:vAlign w:val="center"/>
          </w:tcPr>
          <w:p>
            <w:pPr>
              <w:pStyle w:val="TableContents"/>
              <w:bidi w:val="0"/>
              <w:spacing w:before="0" w:after="283"/>
              <w:jc w:val="both"/>
              <w:rPr/>
            </w:pPr>
            <w:r>
              <w:rPr/>
              <w:t>“</w:t>
            </w:r>
            <w:r>
              <w:rPr>
                <w:b/>
                <w:i/>
              </w:rPr>
              <w:t>Specified Entity</w:t>
            </w:r>
            <w:r>
              <w:rPr/>
              <w:t>” means, in relation to Party A:</w:t>
              <w:tab/>
              <w:t>none; and</w:t>
              <w:tab/>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
        <w:gridCol w:w="545"/>
        <w:gridCol w:w="9589"/>
      </w:tblGrid>
      <w:tr>
        <w:trPr/>
        <w:tc>
          <w:tcPr>
            <w:tcW w:w="7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pPr>
            <w:r>
              <w:rPr/>
              <w:t>(ii)</w:t>
            </w:r>
          </w:p>
        </w:tc>
        <w:tc>
          <w:tcPr>
            <w:tcW w:w="9589" w:type="dxa"/>
            <w:tcBorders/>
            <w:vAlign w:val="center"/>
          </w:tcPr>
          <w:p>
            <w:pPr>
              <w:pStyle w:val="TableContents"/>
              <w:bidi w:val="0"/>
              <w:spacing w:before="0" w:after="283"/>
              <w:jc w:val="both"/>
              <w:rPr/>
            </w:pPr>
            <w:r>
              <w:rPr/>
              <w:t>“</w:t>
            </w:r>
            <w:r>
              <w:rPr>
                <w:b/>
                <w:i/>
              </w:rPr>
              <w:t>Specified Entity</w:t>
            </w:r>
            <w:r>
              <w:rPr/>
              <w:t>” means, in relation to Party B:</w:t>
              <w:tab/>
              <w:t>none.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
        <w:gridCol w:w="278"/>
        <w:gridCol w:w="9882"/>
      </w:tblGrid>
      <w:tr>
        <w:trPr/>
        <w:tc>
          <w:tcPr>
            <w:tcW w:w="4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(l)</w:t>
            </w:r>
          </w:p>
        </w:tc>
        <w:tc>
          <w:tcPr>
            <w:tcW w:w="9882" w:type="dxa"/>
            <w:tcBorders/>
            <w:vAlign w:val="center"/>
          </w:tcPr>
          <w:p>
            <w:pPr>
              <w:pStyle w:val="TableContents"/>
              <w:bidi w:val="0"/>
              <w:spacing w:before="0" w:after="283"/>
              <w:jc w:val="both"/>
              <w:rPr/>
            </w:pPr>
            <w:r>
              <w:rPr>
                <w:b/>
                <w:i/>
              </w:rPr>
              <w:t>No Agency.</w:t>
            </w:r>
            <w:r>
              <w:rPr/>
              <w:t xml:space="preserve"> The provisions of Section 3(g) (</w:t>
            </w:r>
            <w:r>
              <w:rPr>
                <w:i/>
              </w:rPr>
              <w:t>No Agency</w:t>
            </w:r>
            <w:r>
              <w:rPr/>
              <w:t>) will apply to this Agreement.</w:t>
            </w:r>
          </w:p>
        </w:tc>
      </w:tr>
    </w:tbl>
    <w:p>
      <w:pPr>
        <w:pStyle w:val="TextBody"/>
        <w:bidi w:val="0"/>
        <w:spacing w:before="0" w:after="0"/>
        <w:jc w:val="left"/>
        <w:rPr/>
      </w:pPr>
      <w:r>
        <w:rPr/>
        <w:t> </w:t>
      </w:r>
    </w:p>
    <w:p>
      <w:pPr>
        <w:pStyle w:val="TextBody"/>
        <w:bidi w:val="0"/>
        <w:spacing w:before="0" w:after="0"/>
        <w:jc w:val="center"/>
        <w:rPr>
          <w:sz w:val="20"/>
          <w:bdr w:val="single" w:sz="32" w:space="1" w:color="000000"/>
        </w:rPr>
      </w:pPr>
      <w:r>
        <w:rPr>
          <w:sz w:val="20"/>
          <w:bdr w:val="single" w:sz="32" w:space="1" w:color="000000"/>
        </w:rPr>
        <w:t>7</w:t>
      </w:r>
    </w:p>
    <w:p>
      <w:pPr>
        <w:pStyle w:val="TextBody"/>
        <w:bidi w:val="0"/>
        <w:spacing w:before="0" w:after="0"/>
        <w:ind w:left="0" w:right="0" w:hanging="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19"/>
        <w:gridCol w:w="9849"/>
      </w:tblGrid>
      <w:tr>
        <w:trPr/>
        <w:tc>
          <w:tcPr>
            <w:tcW w:w="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(m)</w:t>
            </w:r>
          </w:p>
        </w:tc>
        <w:tc>
          <w:tcPr>
            <w:tcW w:w="9849" w:type="dxa"/>
            <w:tcBorders/>
            <w:vAlign w:val="center"/>
          </w:tcPr>
          <w:p>
            <w:pPr>
              <w:pStyle w:val="TableContents"/>
              <w:bidi w:val="0"/>
              <w:spacing w:before="0" w:after="283"/>
              <w:jc w:val="both"/>
              <w:rPr/>
            </w:pPr>
            <w:r>
              <w:rPr>
                <w:b/>
                <w:i/>
              </w:rPr>
              <w:t xml:space="preserve">Additional Representation </w:t>
            </w:r>
            <w:r>
              <w:rPr/>
              <w:t>will apply. For the purpose of Section 3 (</w:t>
            </w:r>
            <w:r>
              <w:rPr>
                <w:i/>
              </w:rPr>
              <w:t>Representations</w:t>
            </w:r>
            <w:r>
              <w:rPr/>
              <w:t>) of this Agreement, the following will constitute an Additional Representation: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(i)</w:t>
            </w:r>
          </w:p>
        </w:tc>
        <w:tc>
          <w:tcPr>
            <w:tcW w:w="9987" w:type="dxa"/>
            <w:tcBorders/>
            <w:vAlign w:val="center"/>
          </w:tcPr>
          <w:p>
            <w:pPr>
              <w:pStyle w:val="TableContents"/>
              <w:bidi w:val="0"/>
              <w:spacing w:before="0" w:after="283"/>
              <w:jc w:val="both"/>
              <w:rPr/>
            </w:pPr>
            <w:r>
              <w:rPr>
                <w:b/>
                <w:i/>
              </w:rPr>
              <w:t>Relationship Between Parties.</w:t>
            </w:r>
            <w:r>
              <w:rPr/>
              <w:t xml:space="preserve"> Each party will be deemed to represent to the other party on the date on which it enters into a Transaction that (absent a written agreement between the parties that expressly imposes affirmative obligations to the contrary for that Transaction):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283"/>
              <w:jc w:val="both"/>
              <w:rPr/>
            </w:pPr>
            <w:r>
              <w:rPr>
                <w:b/>
                <w:i/>
              </w:rPr>
              <w:t>Non-Reliance.</w:t>
            </w:r>
            <w:r>
              <w:rPr/>
              <w:t xml:space="preserve"> It is acting for its own account, and it has made its own independent decisions to enter into that Transaction and as to whether that Transaction is appropriate or proper for it based upon its own judgment and upon advice from such advisers as it has deemed necessary. It is not relying on any communication (written or oral) of the other party as investment advice or as a recommendation to enter into that Transaction, it being understood that information and explanations related to the terms and conditions of a Transaction will not be considered investment advice or a recommendation to enter into that Transaction. No communication (written or oral) received from the other party will be deemed to be an assurance or guarantee as to the expected results of that Transaction.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(2)</w:t>
            </w:r>
          </w:p>
        </w:tc>
        <w:tc>
          <w:tcPr>
            <w:tcW w:w="9931" w:type="dxa"/>
            <w:tcBorders/>
            <w:vAlign w:val="center"/>
          </w:tcPr>
          <w:p>
            <w:pPr>
              <w:pStyle w:val="TableContents"/>
              <w:bidi w:val="0"/>
              <w:spacing w:before="0" w:after="283"/>
              <w:jc w:val="both"/>
              <w:rPr/>
            </w:pPr>
            <w:r>
              <w:rPr>
                <w:b/>
                <w:i/>
              </w:rPr>
              <w:t>Assessment and Understanding.</w:t>
            </w:r>
            <w:r>
              <w:rPr/>
              <w:t xml:space="preserve"> It is capable of assessing the merits of and understanding (on its own behalf or through independent professional advice), and understands and accepts, the terms, conditions and risks of that Transaction. It is also capable of assuming, and assumes, the risks of that Transaction.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(3)</w:t>
            </w:r>
          </w:p>
        </w:tc>
        <w:tc>
          <w:tcPr>
            <w:tcW w:w="9884" w:type="dxa"/>
            <w:tcBorders/>
            <w:vAlign w:val="center"/>
          </w:tcPr>
          <w:p>
            <w:pPr>
              <w:pStyle w:val="TableContents"/>
              <w:bidi w:val="0"/>
              <w:spacing w:before="0" w:after="283"/>
              <w:jc w:val="both"/>
              <w:rPr/>
            </w:pPr>
            <w:r>
              <w:rPr>
                <w:b/>
                <w:i/>
              </w:rPr>
              <w:t>Status of Parties.</w:t>
            </w:r>
            <w:r>
              <w:rPr/>
              <w:t xml:space="preserve"> The other party is not acting as a fiduciary for or an adviser to it in respect of that Transaction.</w:t>
            </w:r>
          </w:p>
        </w:tc>
      </w:tr>
    </w:tbl>
    <w:p>
      <w:pPr>
        <w:pStyle w:val="TextBody"/>
        <w:bidi w:val="0"/>
        <w:spacing w:before="0" w:after="0"/>
        <w:ind w:left="216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(ii)</w:t>
            </w:r>
          </w:p>
        </w:tc>
        <w:tc>
          <w:tcPr>
            <w:tcW w:w="9940" w:type="dxa"/>
            <w:tcBorders/>
            <w:vAlign w:val="center"/>
          </w:tcPr>
          <w:p>
            <w:pPr>
              <w:pStyle w:val="TableContents"/>
              <w:bidi w:val="0"/>
              <w:spacing w:before="0" w:after="283"/>
              <w:jc w:val="both"/>
              <w:rPr/>
            </w:pPr>
            <w:r>
              <w:rPr>
                <w:b/>
                <w:i/>
              </w:rPr>
              <w:t xml:space="preserve">Eligible Contract Participant. </w:t>
            </w:r>
            <w:r>
              <w:rPr/>
              <w:t>Each party will be deemed to represent to the other party on the date on which it enters into a Transaction that it and its Credit Support Provider(s), if any, is an “eligible contract participant,” as such term is defined in Section 1a(18) of the Commodity Exchange Act, as amended (“</w:t>
            </w:r>
            <w:r>
              <w:rPr>
                <w:b/>
                <w:i/>
              </w:rPr>
              <w:t>CEA</w:t>
            </w:r>
            <w:r>
              <w:rPr/>
              <w:t>”), and that it qualifies as an “eligible counterparty” as defined in Article 30 of Directive 2014/65/EU of the European Parliament and of the Council of 15 May 2014 on markets in financial instruments.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(iii)</w:t>
            </w:r>
          </w:p>
        </w:tc>
        <w:tc>
          <w:tcPr>
            <w:tcW w:w="9884" w:type="dxa"/>
            <w:tcBorders/>
            <w:vAlign w:val="center"/>
          </w:tcPr>
          <w:p>
            <w:pPr>
              <w:pStyle w:val="TableContents"/>
              <w:bidi w:val="0"/>
              <w:spacing w:before="0" w:after="283"/>
              <w:jc w:val="both"/>
              <w:rPr/>
            </w:pPr>
            <w:r>
              <w:rPr>
                <w:b/>
                <w:i/>
              </w:rPr>
              <w:t>No Regulated Swaps Entity.</w:t>
            </w:r>
            <w:r>
              <w:rPr/>
              <w:t xml:space="preserve"> Party A represents that (1) it is not registered with the United States Commodity Futures Trading Commission (the “</w:t>
            </w:r>
            <w:r>
              <w:rPr>
                <w:b/>
                <w:i/>
              </w:rPr>
              <w:t>CFTC</w:t>
            </w:r>
            <w:r>
              <w:rPr/>
              <w:t>”) as a swap dealer or major swap participant (each as defined in the CEA and rules promulgated thereunder) and is not a U.S. Person pursuant to applicable CFTC guidance (each, a “</w:t>
            </w:r>
            <w:r>
              <w:rPr>
                <w:b/>
                <w:i/>
              </w:rPr>
              <w:t>DF Swap Entity</w:t>
            </w:r>
            <w:r>
              <w:rPr/>
              <w:t>”), (2) it is not guaranteed by a DF Swap Entity, and (3) it is not a financial counterparty for purposes of Regulation (EU) No 648/2012 (“</w:t>
            </w:r>
            <w:r>
              <w:rPr>
                <w:b/>
                <w:i/>
              </w:rPr>
              <w:t>EMIR</w:t>
            </w:r>
            <w:r>
              <w:rPr/>
              <w:t>”) on OTC derivatives, central counterparties and trade repositories. Accordingly, Party A is not required to, and will not, report the details of any Transaction under this Agreement to any trade repository pursuant to EU EMIR, UK EMIR, or the rules of the CFTC.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0"/>
        <w:gridCol w:w="689"/>
        <w:gridCol w:w="9426"/>
      </w:tblGrid>
      <w:tr>
        <w:trPr/>
        <w:tc>
          <w:tcPr>
            <w:tcW w:w="9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pPr>
            <w:r>
              <w:rPr/>
              <w:t>(n)</w:t>
            </w:r>
          </w:p>
        </w:tc>
        <w:tc>
          <w:tcPr>
            <w:tcW w:w="9426" w:type="dxa"/>
            <w:tcBorders/>
            <w:vAlign w:val="center"/>
          </w:tcPr>
          <w:p>
            <w:pPr>
              <w:pStyle w:val="TableContents"/>
              <w:bidi w:val="0"/>
              <w:spacing w:before="0" w:after="283"/>
              <w:jc w:val="both"/>
              <w:rPr/>
            </w:pPr>
            <w:r>
              <w:rPr>
                <w:b/>
                <w:i/>
              </w:rPr>
              <w:t>Recording of Conversations.</w:t>
            </w:r>
            <w:r>
              <w:rPr/>
              <w:t xml:space="preserve"> Each party: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(i)</w:t>
            </w:r>
          </w:p>
        </w:tc>
        <w:tc>
          <w:tcPr>
            <w:tcW w:w="9975" w:type="dxa"/>
            <w:tcBorders/>
            <w:vAlign w:val="center"/>
          </w:tcPr>
          <w:p>
            <w:pPr>
              <w:pStyle w:val="TableContents"/>
              <w:bidi w:val="0"/>
              <w:spacing w:before="0" w:after="283"/>
              <w:jc w:val="both"/>
              <w:rPr/>
            </w:pPr>
            <w:r>
              <w:rPr/>
              <w:t>consents to the recording of telephone conversations between the trading, marketing and other relevant personnel of the parties in connection with this Agreement or any potential Transaction;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(ii)</w:t>
            </w:r>
          </w:p>
        </w:tc>
        <w:tc>
          <w:tcPr>
            <w:tcW w:w="9889" w:type="dxa"/>
            <w:tcBorders/>
            <w:vAlign w:val="center"/>
          </w:tcPr>
          <w:p>
            <w:pPr>
              <w:pStyle w:val="TableContents"/>
              <w:bidi w:val="0"/>
              <w:spacing w:before="0" w:after="283"/>
              <w:jc w:val="both"/>
              <w:rPr/>
            </w:pPr>
            <w:r>
              <w:rPr/>
              <w:t>agrees to obtain any necessary consent of, and give any necessary notice of such recording to, its relevant personnel;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18"/>
        <w:gridCol w:w="9850"/>
      </w:tblGrid>
      <w:tr>
        <w:trPr/>
        <w:tc>
          <w:tcPr>
            <w:tcW w:w="3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(iii)</w:t>
            </w:r>
          </w:p>
        </w:tc>
        <w:tc>
          <w:tcPr>
            <w:tcW w:w="9850" w:type="dxa"/>
            <w:tcBorders/>
            <w:vAlign w:val="center"/>
          </w:tcPr>
          <w:p>
            <w:pPr>
              <w:pStyle w:val="TableContents"/>
              <w:bidi w:val="0"/>
              <w:spacing w:before="0" w:after="283"/>
              <w:jc w:val="both"/>
              <w:rPr/>
            </w:pPr>
            <w:r>
              <w:rPr/>
              <w:t>agrees, to the extent permitted by applicable law, that recordings may be submitted in evidence in any Proceedings, subject to applicable rules of discovery and evidence.</w:t>
            </w:r>
          </w:p>
        </w:tc>
      </w:tr>
    </w:tbl>
    <w:p>
      <w:pPr>
        <w:pStyle w:val="TextBody"/>
        <w:bidi w:val="0"/>
        <w:spacing w:before="0" w:after="0"/>
        <w:jc w:val="left"/>
        <w:rPr/>
      </w:pPr>
      <w:r>
        <w:rPr/>
        <w:t> </w:t>
      </w:r>
    </w:p>
    <w:p>
      <w:pPr>
        <w:pStyle w:val="TextBody"/>
        <w:bidi w:val="0"/>
        <w:spacing w:before="0" w:after="0"/>
        <w:jc w:val="center"/>
        <w:rPr>
          <w:sz w:val="20"/>
          <w:bdr w:val="single" w:sz="32" w:space="1" w:color="000000"/>
        </w:rPr>
      </w:pPr>
      <w:r>
        <w:rPr>
          <w:sz w:val="20"/>
          <w:bdr w:val="single" w:sz="3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41"/>
        <w:gridCol w:w="1755"/>
        <w:gridCol w:w="8309"/>
      </w:tblGrid>
      <w:tr>
        <w:trPr/>
        <w:tc>
          <w:tcPr>
            <w:tcW w:w="141"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b/>
              </w:rPr>
            </w:pPr>
            <w:r>
              <w:rPr>
                <w:b/>
              </w:rPr>
              <w:t>Part</w:t>
            </w:r>
          </w:p>
        </w:tc>
        <w:tc>
          <w:tcPr>
            <w:tcW w:w="8309" w:type="dxa"/>
            <w:tcBorders/>
            <w:vAlign w:val="center"/>
          </w:tcPr>
          <w:p>
            <w:pPr>
              <w:pStyle w:val="TableContents"/>
              <w:bidi w:val="0"/>
              <w:spacing w:before="0" w:after="283"/>
              <w:jc w:val="both"/>
              <w:rPr>
                <w:b/>
              </w:rPr>
            </w:pPr>
            <w:r>
              <w:rPr>
                <w:b/>
              </w:rPr>
              <w:t>5.    Other Provisions.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(a)</w:t>
            </w:r>
          </w:p>
        </w:tc>
        <w:tc>
          <w:tcPr>
            <w:tcW w:w="9944" w:type="dxa"/>
            <w:tcBorders/>
            <w:vAlign w:val="center"/>
          </w:tcPr>
          <w:p>
            <w:pPr>
              <w:pStyle w:val="TableContents"/>
              <w:bidi w:val="0"/>
              <w:spacing w:before="0" w:after="283"/>
              <w:jc w:val="both"/>
              <w:rPr/>
            </w:pPr>
            <w:r>
              <w:rPr>
                <w:b/>
                <w:i/>
              </w:rPr>
              <w:t>ISDA Definitions.</w:t>
            </w:r>
            <w:r>
              <w:rPr/>
              <w:t xml:space="preserve"> Reference is hereby made to the 2006 ISDA Definitions as published by ISDA (the “</w:t>
            </w:r>
            <w:r>
              <w:rPr>
                <w:b/>
                <w:i/>
              </w:rPr>
              <w:t>Definitions</w:t>
            </w:r>
            <w:r>
              <w:rPr/>
              <w:t>”), which are hereby incorporated by reference herein. Any terms used and not otherwise defined herein which are contained in the Definitions shall have the meaning set forth therein.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(b)</w:t>
            </w:r>
          </w:p>
        </w:tc>
        <w:tc>
          <w:tcPr>
            <w:tcW w:w="9946" w:type="dxa"/>
            <w:tcBorders/>
            <w:vAlign w:val="center"/>
          </w:tcPr>
          <w:p>
            <w:pPr>
              <w:pStyle w:val="TableContents"/>
              <w:bidi w:val="0"/>
              <w:spacing w:before="0" w:after="283"/>
              <w:jc w:val="both"/>
              <w:rPr/>
            </w:pPr>
            <w:r>
              <w:rPr>
                <w:b/>
                <w:i/>
              </w:rPr>
              <w:t>Severability.</w:t>
            </w:r>
            <w:r>
              <w:rPr/>
              <w:t xml:space="preserve"> If any term, provision, covenant or condition of this Agreement, or the application thereof to any party or circumstance, shall be held to be invalid or unenforceable (in whole or in part) for any reason, the remaining terms, provisions, covenants and conditions hereof shall continue in full force and effect as if this Agreement had been executed with the invalid or unenforceable portion eliminated, so long as this Agreement as so modified continues to express, without material change, the original intentions of the parties as to the subject matter of this Agreement and the deletion of such portion of this Agreement will not substantially impair the respective benefits or expectations of the parties to this Agreement. The parties hereto shall endeavor in good faith negotiations to replace the prohibited or unenforceable provision with a valid provision the economic effect of which comes as close as possible to that of the prohibited or unenforceable provision.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(c)</w:t>
            </w:r>
          </w:p>
        </w:tc>
        <w:tc>
          <w:tcPr>
            <w:tcW w:w="9955" w:type="dxa"/>
            <w:tcBorders/>
            <w:vAlign w:val="center"/>
          </w:tcPr>
          <w:p>
            <w:pPr>
              <w:pStyle w:val="TableContents"/>
              <w:bidi w:val="0"/>
              <w:spacing w:before="0" w:after="283"/>
              <w:jc w:val="both"/>
              <w:rPr/>
            </w:pPr>
            <w:r>
              <w:rPr>
                <w:b/>
                <w:i/>
              </w:rPr>
              <w:t xml:space="preserve">Limitation of Liability. </w:t>
            </w:r>
            <w:r>
              <w:rPr/>
              <w:t>Without prejudice to the definition of “Close-out Amount” and payments calculated by reference to the provisions in Section 6(e) (</w:t>
            </w:r>
            <w:r>
              <w:rPr>
                <w:i/>
              </w:rPr>
              <w:t>Payments on Early Termination</w:t>
            </w:r>
            <w:r>
              <w:rPr/>
              <w:t>), the parties agree that neither party shall be required to pay or be liable to the other party for any consequential, indirect or punitive damages, opportunity costs or lost profits (whether arising from its negligence or breach of contract or otherwise), save only that nothing shall exclude liability for gross negligence, willful misconduct or fraud.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(d)</w:t>
            </w:r>
          </w:p>
        </w:tc>
        <w:tc>
          <w:tcPr>
            <w:tcW w:w="9921" w:type="dxa"/>
            <w:tcBorders/>
            <w:vAlign w:val="center"/>
          </w:tcPr>
          <w:p>
            <w:pPr>
              <w:pStyle w:val="TableContents"/>
              <w:bidi w:val="0"/>
              <w:spacing w:before="0" w:after="283"/>
              <w:jc w:val="both"/>
              <w:rPr/>
            </w:pPr>
            <w:r>
              <w:rPr>
                <w:b/>
                <w:i/>
              </w:rPr>
              <w:t>Accuracy of Specified Information.</w:t>
            </w:r>
            <w:r>
              <w:rPr/>
              <w:t xml:space="preserve"> Section 3(d) (</w:t>
            </w:r>
            <w:r>
              <w:rPr>
                <w:i/>
              </w:rPr>
              <w:t>Accuracy of Specified Information</w:t>
            </w:r>
            <w:r>
              <w:rPr/>
              <w:t>) of this Agreement is hereby amended by adding in the third line thereof, between the word “respect” and the period at the end, the words:</w:t>
            </w:r>
          </w:p>
        </w:tc>
      </w:tr>
    </w:tbl>
    <w:p>
      <w:pPr>
        <w:pStyle w:val="TextBody"/>
        <w:bidi w:val="0"/>
        <w:spacing w:before="0" w:after="0"/>
        <w:jc w:val="left"/>
        <w:rPr/>
      </w:pPr>
      <w:r>
        <w:rPr/>
        <w:t> </w:t>
      </w:r>
    </w:p>
    <w:p>
      <w:pPr>
        <w:pStyle w:val="TextBody"/>
        <w:bidi w:val="0"/>
        <w:spacing w:before="0" w:after="0"/>
        <w:ind w:left="1440" w:right="722" w:hanging="0"/>
        <w:jc w:val="both"/>
        <w:rPr/>
      </w:pPr>
      <w:r>
        <w:rPr/>
        <w:t>“</w:t>
      </w:r>
      <w:r>
        <w:rPr>
          <w:sz w:val="20"/>
        </w:rPr>
        <w:t>or, in the case of audited or unaudited financial statements or balance sheets, a fair presentation of the financial condition of the relevant person”.</w:t>
      </w:r>
    </w:p>
    <w:p>
      <w:pPr>
        <w:pStyle w:val="TextBody"/>
        <w:bidi w:val="0"/>
        <w:spacing w:before="0" w:after="0"/>
        <w:ind w:left="1440" w:right="722"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(e)</w:t>
            </w:r>
          </w:p>
        </w:tc>
        <w:tc>
          <w:tcPr>
            <w:tcW w:w="9953" w:type="dxa"/>
            <w:tcBorders/>
            <w:vAlign w:val="center"/>
          </w:tcPr>
          <w:p>
            <w:pPr>
              <w:pStyle w:val="TableContents"/>
              <w:bidi w:val="0"/>
              <w:spacing w:before="0" w:after="283"/>
              <w:jc w:val="both"/>
              <w:rPr/>
            </w:pPr>
            <w:r>
              <w:rPr>
                <w:b/>
                <w:i/>
              </w:rPr>
              <w:t xml:space="preserve">Scope of Agreement. </w:t>
            </w:r>
            <w:r>
              <w:rPr/>
              <w:t>Any Crypto Derivative between Party A and Party B, which would otherwise be a Specified Transaction under this Agreement, the confirmation of which fails by its terms expressly to exclude application of this Agreement, shall be governed by and be subject to this Agreement. Any such confirmation shall be a “Confirmation”, and any such Crypto Derivative shall be a “Transaction”, for all purposes under this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(f)</w:t>
            </w:r>
          </w:p>
        </w:tc>
        <w:tc>
          <w:tcPr>
            <w:tcW w:w="9946" w:type="dxa"/>
            <w:tcBorders/>
            <w:vAlign w:val="center"/>
          </w:tcPr>
          <w:p>
            <w:pPr>
              <w:pStyle w:val="TableContents"/>
              <w:bidi w:val="0"/>
              <w:spacing w:before="0" w:after="283"/>
              <w:jc w:val="both"/>
              <w:rPr/>
            </w:pPr>
            <w:r>
              <w:rPr>
                <w:b/>
                <w:i/>
              </w:rPr>
              <w:t>Inconsistency.</w:t>
            </w:r>
            <w:r>
              <w:rPr/>
              <w:t xml:space="preserve"> In the event of any inconsistency between any of the following documents, the relevant document first listed below shall govern: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6"/>
        <w:gridCol w:w="1313"/>
        <w:gridCol w:w="8676"/>
      </w:tblGrid>
      <w:tr>
        <w:trPr/>
        <w:tc>
          <w:tcPr>
            <w:tcW w:w="21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pPr>
            <w:r>
              <w:rPr/>
              <w:t>(i)</w:t>
            </w:r>
          </w:p>
        </w:tc>
        <w:tc>
          <w:tcPr>
            <w:tcW w:w="8676" w:type="dxa"/>
            <w:tcBorders/>
            <w:vAlign w:val="center"/>
          </w:tcPr>
          <w:p>
            <w:pPr>
              <w:pStyle w:val="TableContents"/>
              <w:bidi w:val="0"/>
              <w:spacing w:before="0" w:after="283"/>
              <w:jc w:val="both"/>
              <w:rPr/>
            </w:pPr>
            <w:r>
              <w:rPr/>
              <w:t>a Confirmation;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0"/>
        <w:gridCol w:w="1758"/>
        <w:gridCol w:w="8217"/>
      </w:tblGrid>
      <w:tr>
        <w:trPr/>
        <w:tc>
          <w:tcPr>
            <w:tcW w:w="230"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pPr>
            <w:r>
              <w:rPr/>
              <w:t>(ii)</w:t>
            </w:r>
          </w:p>
        </w:tc>
        <w:tc>
          <w:tcPr>
            <w:tcW w:w="8217" w:type="dxa"/>
            <w:tcBorders/>
            <w:vAlign w:val="center"/>
          </w:tcPr>
          <w:p>
            <w:pPr>
              <w:pStyle w:val="TableContents"/>
              <w:bidi w:val="0"/>
              <w:spacing w:before="0" w:after="283"/>
              <w:jc w:val="both"/>
              <w:rPr/>
            </w:pPr>
            <w:r>
              <w:rPr/>
              <w:t>this Schedule;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9"/>
        <w:gridCol w:w="1565"/>
        <w:gridCol w:w="8471"/>
      </w:tblGrid>
      <w:tr>
        <w:trPr/>
        <w:tc>
          <w:tcPr>
            <w:tcW w:w="169"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pPr>
            <w:r>
              <w:rPr/>
              <w:t>(iii)</w:t>
            </w:r>
          </w:p>
        </w:tc>
        <w:tc>
          <w:tcPr>
            <w:tcW w:w="8471" w:type="dxa"/>
            <w:tcBorders/>
            <w:vAlign w:val="center"/>
          </w:tcPr>
          <w:p>
            <w:pPr>
              <w:pStyle w:val="TableContents"/>
              <w:bidi w:val="0"/>
              <w:spacing w:before="0" w:after="283"/>
              <w:jc w:val="both"/>
              <w:rPr/>
            </w:pPr>
            <w:r>
              <w:rPr/>
              <w:t>the Definitions;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3"/>
        <w:gridCol w:w="682"/>
        <w:gridCol w:w="9450"/>
      </w:tblGrid>
      <w:tr>
        <w:trPr/>
        <w:tc>
          <w:tcPr>
            <w:tcW w:w="7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pPr>
            <w:r>
              <w:rPr/>
              <w:t>(iv)</w:t>
            </w:r>
          </w:p>
        </w:tc>
        <w:tc>
          <w:tcPr>
            <w:tcW w:w="9450" w:type="dxa"/>
            <w:tcBorders/>
            <w:vAlign w:val="center"/>
          </w:tcPr>
          <w:p>
            <w:pPr>
              <w:pStyle w:val="TableContents"/>
              <w:bidi w:val="0"/>
              <w:spacing w:before="0" w:after="283"/>
              <w:jc w:val="both"/>
              <w:rPr/>
            </w:pPr>
            <w:r>
              <w:rPr/>
              <w:t>the printed form of 2002 ISDA Master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(g)</w:t>
            </w:r>
          </w:p>
        </w:tc>
        <w:tc>
          <w:tcPr>
            <w:tcW w:w="9936" w:type="dxa"/>
            <w:tcBorders/>
            <w:vAlign w:val="center"/>
          </w:tcPr>
          <w:p>
            <w:pPr>
              <w:pStyle w:val="TableContents"/>
              <w:bidi w:val="0"/>
              <w:spacing w:before="0" w:after="283"/>
              <w:jc w:val="both"/>
              <w:rPr/>
            </w:pPr>
            <w:r>
              <w:rPr>
                <w:b/>
                <w:i/>
              </w:rPr>
              <w:t xml:space="preserve">2002 Master Agreement Protocol. </w:t>
            </w:r>
            <w:r>
              <w:rPr/>
              <w:t>The definitions and provisions contained in Annexes 1 to 18 and Section 6 of the 2002 Master Agreement Protocol published by ISDA on July 15, 2003 (the “</w:t>
            </w:r>
            <w:r>
              <w:rPr>
                <w:b/>
                <w:i/>
              </w:rPr>
              <w:t>Protocol</w:t>
            </w:r>
            <w:r>
              <w:rPr/>
              <w:t>”), are incorporated into and apply to this Agreement. References in the Protocol to any “ISDA 2002 Master Agreement” and/or “2002 Master” shall be deemed to be references to this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(h)</w:t>
            </w:r>
          </w:p>
        </w:tc>
        <w:tc>
          <w:tcPr>
            <w:tcW w:w="9907" w:type="dxa"/>
            <w:tcBorders/>
            <w:vAlign w:val="center"/>
          </w:tcPr>
          <w:p>
            <w:pPr>
              <w:pStyle w:val="TableContents"/>
              <w:bidi w:val="0"/>
              <w:spacing w:before="0" w:after="283"/>
              <w:jc w:val="both"/>
              <w:rPr/>
            </w:pPr>
            <w:r>
              <w:rPr>
                <w:b/>
                <w:i/>
              </w:rPr>
              <w:t xml:space="preserve">Transfer. </w:t>
            </w:r>
            <w:r>
              <w:rPr/>
              <w:t>Section 7 shall be amended by adding the words “, which consent shall not be unreasonably withheld,” after the word “party” in the third line thereof.</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pPr>
            <w:r>
              <w:rPr/>
              <w:t>(i)</w:t>
            </w:r>
          </w:p>
        </w:tc>
        <w:tc>
          <w:tcPr>
            <w:tcW w:w="9967" w:type="dxa"/>
            <w:tcBorders/>
            <w:vAlign w:val="center"/>
          </w:tcPr>
          <w:p>
            <w:pPr>
              <w:pStyle w:val="TableContents"/>
              <w:bidi w:val="0"/>
              <w:spacing w:before="0" w:after="283"/>
              <w:jc w:val="both"/>
              <w:rPr/>
            </w:pPr>
            <w:r>
              <w:rPr>
                <w:b/>
                <w:i/>
              </w:rPr>
              <w:t>Amendments</w:t>
            </w:r>
            <w:r>
              <w:rPr/>
              <w:t>. Section 9(b) shall be amended by adding the words “or PDF file via email transmission” after the word “transmission” in the second line thereof.</w:t>
            </w:r>
          </w:p>
        </w:tc>
      </w:tr>
    </w:tbl>
    <w:p>
      <w:pPr>
        <w:pStyle w:val="TextBody"/>
        <w:bidi w:val="0"/>
        <w:spacing w:before="0" w:after="0"/>
        <w:jc w:val="left"/>
        <w:rPr/>
      </w:pPr>
      <w:r>
        <w:rPr/>
        <w:t> </w:t>
      </w:r>
    </w:p>
    <w:p>
      <w:pPr>
        <w:pStyle w:val="TextBody"/>
        <w:bidi w:val="0"/>
        <w:spacing w:before="0" w:after="0"/>
        <w:jc w:val="center"/>
        <w:rPr>
          <w:sz w:val="20"/>
          <w:bdr w:val="single" w:sz="32" w:space="1" w:color="000000"/>
        </w:rPr>
      </w:pPr>
      <w:r>
        <w:rPr>
          <w:sz w:val="20"/>
          <w:bdr w:val="single" w:sz="32" w:space="1" w:color="000000"/>
        </w:rPr>
        <w:t>9</w:t>
      </w:r>
    </w:p>
    <w:p>
      <w:pPr>
        <w:pStyle w:val="TextBody"/>
        <w:bidi w:val="0"/>
        <w:spacing w:before="0" w:after="0"/>
        <w:ind w:left="0" w:right="0" w:hanging="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(j)</w:t>
            </w:r>
          </w:p>
        </w:tc>
        <w:tc>
          <w:tcPr>
            <w:tcW w:w="10000" w:type="dxa"/>
            <w:tcBorders/>
            <w:vAlign w:val="center"/>
          </w:tcPr>
          <w:p>
            <w:pPr>
              <w:pStyle w:val="TableContents"/>
              <w:bidi w:val="0"/>
              <w:spacing w:before="0" w:after="283"/>
              <w:jc w:val="both"/>
              <w:rPr/>
            </w:pPr>
            <w:r>
              <w:rPr>
                <w:b/>
                <w:i/>
              </w:rPr>
              <w:t xml:space="preserve">Confidentiality. </w:t>
            </w:r>
            <w:r>
              <w:rPr/>
              <w:t>All information provided by a party to the Agreement and/or its representatives (the “</w:t>
            </w:r>
            <w:r>
              <w:rPr>
                <w:b/>
                <w:i/>
              </w:rPr>
              <w:t>Delivering Party</w:t>
            </w:r>
            <w:r>
              <w:rPr/>
              <w:t>”) in connection with the Transactions, whether written or oral (including without limitation this Agreement, documents delivered pursuant to Part 3 of this Agreement, and any Confirmation entered into hereunder, “</w:t>
            </w:r>
            <w:r>
              <w:rPr>
                <w:b/>
                <w:i/>
              </w:rPr>
              <w:t>Confidential Information</w:t>
            </w:r>
            <w:r>
              <w:rPr/>
              <w:t>”), shall at all times be treated as confidential and proprietary to the Delivering Party. For this purpose, Confidential Information does not include information which:</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w:t>
            </w:r>
          </w:p>
        </w:tc>
        <w:tc>
          <w:tcPr>
            <w:tcW w:w="9968" w:type="dxa"/>
            <w:tcBorders/>
            <w:vAlign w:val="center"/>
          </w:tcPr>
          <w:p>
            <w:pPr>
              <w:pStyle w:val="TableContents"/>
              <w:bidi w:val="0"/>
              <w:spacing w:before="0" w:after="283"/>
              <w:jc w:val="both"/>
              <w:rPr/>
            </w:pPr>
            <w:r>
              <w:rPr/>
              <w:t>was or becomes generally available to the public other than as a result of disclosure by the other party to the Agreement or its representatives (the “</w:t>
            </w:r>
            <w:r>
              <w:rPr>
                <w:b/>
                <w:i/>
              </w:rPr>
              <w:t>Receiving Party</w:t>
            </w:r>
            <w:r>
              <w:rPr/>
              <w: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(ii)</w:t>
            </w:r>
          </w:p>
        </w:tc>
        <w:tc>
          <w:tcPr>
            <w:tcW w:w="9927" w:type="dxa"/>
            <w:tcBorders/>
            <w:vAlign w:val="center"/>
          </w:tcPr>
          <w:p>
            <w:pPr>
              <w:pStyle w:val="TableContents"/>
              <w:bidi w:val="0"/>
              <w:spacing w:before="0" w:after="283"/>
              <w:jc w:val="both"/>
              <w:rPr/>
            </w:pPr>
            <w:r>
              <w:rPr/>
              <w:t xml:space="preserve">was or becomes available to the Receiving Party on a non-confidential basis from a source other than the Delivering Party, </w:t>
            </w:r>
            <w:r>
              <w:rPr>
                <w:i/>
              </w:rPr>
              <w:t>provided that</w:t>
            </w:r>
            <w:r>
              <w:rPr/>
              <w:t xml:space="preserve"> such source is not, to the knowledge of the Receiving Party, itself bound by a confidentiality agreement with the Delivering Party; 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34"/>
        <w:gridCol w:w="9834"/>
      </w:tblGrid>
      <w:tr>
        <w:trPr/>
        <w:tc>
          <w:tcPr>
            <w:tcW w:w="3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(iii)</w:t>
            </w:r>
          </w:p>
        </w:tc>
        <w:tc>
          <w:tcPr>
            <w:tcW w:w="9834" w:type="dxa"/>
            <w:tcBorders/>
            <w:vAlign w:val="center"/>
          </w:tcPr>
          <w:p>
            <w:pPr>
              <w:pStyle w:val="TableContents"/>
              <w:bidi w:val="0"/>
              <w:spacing w:before="0" w:after="283"/>
              <w:jc w:val="both"/>
              <w:rPr/>
            </w:pPr>
            <w:r>
              <w:rPr/>
              <w:t>was in the Receiving Party’s possession without any obligation of confidentiality prior to its disclosure by the Delivering Party.</w:t>
            </w:r>
          </w:p>
        </w:tc>
      </w:tr>
    </w:tbl>
    <w:p>
      <w:pPr>
        <w:pStyle w:val="TextBody"/>
        <w:bidi w:val="0"/>
        <w:spacing w:before="0" w:after="0"/>
        <w:jc w:val="left"/>
        <w:rPr/>
      </w:pPr>
      <w:r>
        <w:rPr/>
        <w:t> </w:t>
      </w:r>
    </w:p>
    <w:p>
      <w:pPr>
        <w:pStyle w:val="TextBody"/>
        <w:bidi w:val="0"/>
        <w:spacing w:before="0" w:after="0"/>
        <w:ind w:left="720" w:right="0" w:hanging="0"/>
        <w:jc w:val="both"/>
        <w:rPr>
          <w:sz w:val="20"/>
        </w:rPr>
      </w:pPr>
      <w:r>
        <w:rPr>
          <w:sz w:val="20"/>
        </w:rPr>
        <w:t>Notwithstanding any provision herein to the contrary, the Receiving Party may disclose Confidential Information to the extent expressly compelled by applicable law or order issued by any administrative, governmental, regulatory, or judicial authority with competent jurisdiction or requested by a regulatory authority having jurisdiction over such Receiving Party. In addition, the Receiving Party may disclose Confidential Information to any Affiliate, director, officer, manager, shareholder, co-investor, member, advisor, agent, employee, financial advisor, consultant, attorney, accountant, financing source or other authorized representative for purposes of evaluating any Transaction or performing its obligations or enforcing its rights under the Agreement or any Confirmations.</w:t>
      </w:r>
    </w:p>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(k)</w:t>
            </w:r>
          </w:p>
        </w:tc>
        <w:tc>
          <w:tcPr>
            <w:tcW w:w="9918" w:type="dxa"/>
            <w:tcBorders/>
            <w:vAlign w:val="center"/>
          </w:tcPr>
          <w:p>
            <w:pPr>
              <w:pStyle w:val="TableContents"/>
              <w:bidi w:val="0"/>
              <w:spacing w:before="0" w:after="283"/>
              <w:jc w:val="both"/>
              <w:rPr/>
            </w:pPr>
            <w:r>
              <w:rPr>
                <w:b/>
                <w:i/>
              </w:rPr>
              <w:t>Effectiveness of Notices.</w:t>
            </w:r>
            <w:r>
              <w:rPr/>
              <w:t xml:space="preserve"> Section 12(a) is modified by deleting the phrase “(except that a notice or other communication under Section 5 or 6 may not be given by electronic messaging system or e-mail)”.</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(l)</w:t>
            </w:r>
          </w:p>
        </w:tc>
        <w:tc>
          <w:tcPr>
            <w:tcW w:w="9997" w:type="dxa"/>
            <w:tcBorders/>
            <w:vAlign w:val="center"/>
          </w:tcPr>
          <w:p>
            <w:pPr>
              <w:pStyle w:val="TableContents"/>
              <w:bidi w:val="0"/>
              <w:spacing w:before="0" w:after="283"/>
              <w:jc w:val="both"/>
              <w:rPr/>
            </w:pPr>
            <w:r>
              <w:rPr>
                <w:b/>
                <w:i/>
              </w:rPr>
              <w:t>Electronic Signatures.</w:t>
            </w:r>
            <w:r>
              <w:rPr/>
              <w:t xml:space="preserve"> The parties acknowledge and agree that the words “execution,” “signed,” “signature” and words of like import in this Agreement and any Confirmation shall be deemed to include electronic signatures or the keeping of records in electronic form, each of which shall be of the same legal effect, validity and enforceability as a manually executed signature or the use of a paper-based recordkeeping system.</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18"/>
        <w:gridCol w:w="9850"/>
      </w:tblGrid>
      <w:tr>
        <w:trPr/>
        <w:tc>
          <w:tcPr>
            <w:tcW w:w="3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(m)</w:t>
            </w:r>
          </w:p>
        </w:tc>
        <w:tc>
          <w:tcPr>
            <w:tcW w:w="9850" w:type="dxa"/>
            <w:tcBorders/>
            <w:vAlign w:val="center"/>
          </w:tcPr>
          <w:p>
            <w:pPr>
              <w:pStyle w:val="TableContents"/>
              <w:bidi w:val="0"/>
              <w:spacing w:before="0" w:after="283"/>
              <w:jc w:val="both"/>
              <w:rPr/>
            </w:pPr>
            <w:r>
              <w:rPr>
                <w:b/>
                <w:i/>
              </w:rPr>
              <w:t>Additional Definitions.</w:t>
            </w:r>
            <w:r>
              <w:rPr/>
              <w:t xml:space="preserve"> The following terms and their corresponding definitions shall be added to Section 14 of this Agreement in the appropriate alphabetical position: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0"/>
        <w:gridCol w:w="369"/>
        <w:gridCol w:w="9776"/>
      </w:tblGrid>
      <w:tr>
        <w:trPr/>
        <w:tc>
          <w:tcPr>
            <w:tcW w:w="6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pPr>
            <w:r>
              <w:rPr/>
              <w:t>(i)</w:t>
            </w:r>
          </w:p>
        </w:tc>
        <w:tc>
          <w:tcPr>
            <w:tcW w:w="9776" w:type="dxa"/>
            <w:tcBorders/>
            <w:vAlign w:val="center"/>
          </w:tcPr>
          <w:p>
            <w:pPr>
              <w:pStyle w:val="TableContents"/>
              <w:bidi w:val="0"/>
              <w:spacing w:before="0" w:after="283"/>
              <w:jc w:val="both"/>
              <w:rPr/>
            </w:pPr>
            <w:r>
              <w:rPr/>
              <w:t>“</w:t>
            </w:r>
            <w:r>
              <w:rPr>
                <w:b/>
                <w:i/>
              </w:rPr>
              <w:t>Code</w:t>
            </w:r>
            <w:r>
              <w:rPr/>
              <w:t>” means the Internal Revenue Code of 1986, as amended;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(ii)</w:t>
            </w:r>
          </w:p>
        </w:tc>
        <w:tc>
          <w:tcPr>
            <w:tcW w:w="9933" w:type="dxa"/>
            <w:tcBorders/>
            <w:vAlign w:val="center"/>
          </w:tcPr>
          <w:p>
            <w:pPr>
              <w:pStyle w:val="TableContents"/>
              <w:bidi w:val="0"/>
              <w:spacing w:before="0" w:after="283"/>
              <w:jc w:val="both"/>
              <w:rPr/>
            </w:pPr>
            <w:r>
              <w:rPr/>
              <w:t>“</w:t>
            </w:r>
            <w:r>
              <w:rPr>
                <w:b/>
                <w:i/>
              </w:rPr>
              <w:t>Constitutive Documents</w:t>
            </w:r>
            <w:r>
              <w:rPr/>
              <w:t>” means, in relation to a party, such party’s certificate of incorporation or limited partnership, memorandum of association, commercial registration documents or other analogous document(s), as applicable (in each case, as amended, amended and restated, replaced, supplemented or otherwise modified from time to time);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30"/>
        <w:gridCol w:w="9838"/>
      </w:tblGrid>
      <w:tr>
        <w:trPr/>
        <w:tc>
          <w:tcPr>
            <w:tcW w:w="3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pPr>
            <w:r>
              <w:rPr/>
              <w:t>(iii)</w:t>
            </w:r>
          </w:p>
        </w:tc>
        <w:tc>
          <w:tcPr>
            <w:tcW w:w="9838" w:type="dxa"/>
            <w:tcBorders/>
            <w:vAlign w:val="center"/>
          </w:tcPr>
          <w:p>
            <w:pPr>
              <w:pStyle w:val="TableContents"/>
              <w:bidi w:val="0"/>
              <w:spacing w:before="0" w:after="283"/>
              <w:jc w:val="both"/>
              <w:rPr/>
            </w:pPr>
            <w:r>
              <w:rPr/>
              <w:t>“</w:t>
            </w:r>
            <w:r>
              <w:rPr>
                <w:b/>
                <w:i/>
              </w:rPr>
              <w:t>Core Documents</w:t>
            </w:r>
            <w:r>
              <w:rPr/>
              <w:t>” means, in relation to a party, such party’s Constitutive Documents, Governing Documents, and organizational chart;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91"/>
        <w:gridCol w:w="9877"/>
      </w:tblGrid>
      <w:tr>
        <w:trPr/>
        <w:tc>
          <w:tcPr>
            <w:tcW w:w="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(iv)</w:t>
            </w:r>
          </w:p>
        </w:tc>
        <w:tc>
          <w:tcPr>
            <w:tcW w:w="9877" w:type="dxa"/>
            <w:tcBorders/>
            <w:vAlign w:val="center"/>
          </w:tcPr>
          <w:p>
            <w:pPr>
              <w:pStyle w:val="TableContents"/>
              <w:bidi w:val="0"/>
              <w:spacing w:before="0" w:after="283"/>
              <w:jc w:val="both"/>
              <w:rPr/>
            </w:pPr>
            <w:r>
              <w:rPr/>
              <w:t>“</w:t>
            </w:r>
            <w:r>
              <w:rPr>
                <w:b/>
                <w:i/>
              </w:rPr>
              <w:t>Crypto Activities</w:t>
            </w:r>
            <w:r>
              <w:rPr/>
              <w:t>” means any activities involving Crypto Assets including, without limitation, any brokerage arrangement in respect of Crypto Asset trading activities; any lending transaction whereby the loan is paid, or collateral is provided in respect thereof, in one or more Crypto Assets; any “spot” or “cash” purchase or sale of a Crypto Asset for immediate or near-immediate delivery; and any Crypto Derivatives;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(v)</w:t>
            </w:r>
          </w:p>
        </w:tc>
        <w:tc>
          <w:tcPr>
            <w:tcW w:w="9920" w:type="dxa"/>
            <w:tcBorders/>
            <w:vAlign w:val="center"/>
          </w:tcPr>
          <w:p>
            <w:pPr>
              <w:pStyle w:val="TableContents"/>
              <w:bidi w:val="0"/>
              <w:spacing w:before="0" w:after="283"/>
              <w:jc w:val="both"/>
              <w:rPr/>
            </w:pPr>
            <w:r>
              <w:rPr/>
              <w:t>“</w:t>
            </w:r>
            <w:r>
              <w:rPr>
                <w:b/>
                <w:i/>
              </w:rPr>
              <w:t>Crypto Asset</w:t>
            </w:r>
            <w:r>
              <w:rPr/>
              <w:t>” means a digital asset that encompasses any digital representation of value or unit of account, whether taking the form of a unit, token, coin or otherwise, that is or can be used as a medium of exchange;</w:t>
            </w:r>
          </w:p>
        </w:tc>
      </w:tr>
    </w:tbl>
    <w:p>
      <w:pPr>
        <w:pStyle w:val="TextBody"/>
        <w:bidi w:val="0"/>
        <w:spacing w:before="0" w:after="0"/>
        <w:jc w:val="left"/>
        <w:rPr/>
      </w:pPr>
      <w:r>
        <w:rPr/>
        <w:t> </w:t>
      </w:r>
    </w:p>
    <w:p>
      <w:pPr>
        <w:pStyle w:val="TextBody"/>
        <w:bidi w:val="0"/>
        <w:spacing w:before="0" w:after="0"/>
        <w:jc w:val="center"/>
        <w:rPr>
          <w:sz w:val="20"/>
          <w:bdr w:val="single" w:sz="32" w:space="1" w:color="000000"/>
        </w:rPr>
      </w:pPr>
      <w:r>
        <w:rPr>
          <w:sz w:val="20"/>
          <w:bdr w:val="single" w:sz="32" w:space="1" w:color="000000"/>
        </w:rPr>
        <w:t>10</w:t>
      </w:r>
    </w:p>
    <w:p>
      <w:pPr>
        <w:pStyle w:val="TextBody"/>
        <w:bidi w:val="0"/>
        <w:spacing w:before="0" w:after="0"/>
        <w:ind w:left="0" w:right="0" w:hanging="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23"/>
        <w:gridCol w:w="9845"/>
      </w:tblGrid>
      <w:tr>
        <w:trPr/>
        <w:tc>
          <w:tcPr>
            <w:tcW w:w="3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pPr>
            <w:r>
              <w:rPr/>
              <w:t>(vi)</w:t>
            </w:r>
          </w:p>
        </w:tc>
        <w:tc>
          <w:tcPr>
            <w:tcW w:w="9845" w:type="dxa"/>
            <w:tcBorders/>
            <w:vAlign w:val="center"/>
          </w:tcPr>
          <w:p>
            <w:pPr>
              <w:pStyle w:val="TableContents"/>
              <w:bidi w:val="0"/>
              <w:spacing w:before="0" w:after="283"/>
              <w:jc w:val="both"/>
              <w:rPr/>
            </w:pPr>
            <w:r>
              <w:rPr/>
              <w:t>“</w:t>
            </w:r>
            <w:r>
              <w:rPr>
                <w:b/>
                <w:i/>
              </w:rPr>
              <w:t>Crypto Derivatives</w:t>
            </w:r>
            <w:r>
              <w:rPr/>
              <w:t>” means any forward, swap, future, option or other derivatives transaction on one or more Crypto Assets (including any index thereon);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400"/>
        <w:gridCol w:w="9768"/>
      </w:tblGrid>
      <w:tr>
        <w:trPr/>
        <w:tc>
          <w:tcPr>
            <w:tcW w:w="3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pPr>
            <w:r>
              <w:rPr/>
              <w:t>(vii)</w:t>
            </w:r>
          </w:p>
        </w:tc>
        <w:tc>
          <w:tcPr>
            <w:tcW w:w="9768" w:type="dxa"/>
            <w:tcBorders/>
            <w:vAlign w:val="center"/>
          </w:tcPr>
          <w:p>
            <w:pPr>
              <w:pStyle w:val="TableContents"/>
              <w:bidi w:val="0"/>
              <w:spacing w:before="0" w:after="283"/>
              <w:jc w:val="both"/>
              <w:rPr/>
            </w:pPr>
            <w:r>
              <w:rPr/>
              <w:t>“</w:t>
            </w:r>
            <w:r>
              <w:rPr>
                <w:b/>
                <w:i/>
              </w:rPr>
              <w:t>Crypto Transaction</w:t>
            </w:r>
            <w:r>
              <w:rPr/>
              <w:t>” means any Transaction in respect of Crypto Derivatives entered into by the parties hereunder;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415"/>
        <w:gridCol w:w="9753"/>
      </w:tblGrid>
      <w:tr>
        <w:trPr/>
        <w:tc>
          <w:tcPr>
            <w:tcW w:w="3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pPr>
            <w:r>
              <w:rPr/>
              <w:t>(viii)</w:t>
            </w:r>
          </w:p>
        </w:tc>
        <w:tc>
          <w:tcPr>
            <w:tcW w:w="9753" w:type="dxa"/>
            <w:tcBorders/>
            <w:vAlign w:val="center"/>
          </w:tcPr>
          <w:p>
            <w:pPr>
              <w:pStyle w:val="TableContents"/>
              <w:bidi w:val="0"/>
              <w:spacing w:before="0" w:after="283"/>
              <w:jc w:val="both"/>
              <w:rPr/>
            </w:pPr>
            <w:r>
              <w:rPr/>
              <w:t>“</w:t>
            </w:r>
            <w:r>
              <w:rPr>
                <w:b/>
                <w:i/>
              </w:rPr>
              <w:t>Governing Documents</w:t>
            </w:r>
            <w:r>
              <w:rPr/>
              <w:t>” means, in relation to a party, such party’s limited partnership agreement, limited liability company agreement, corporate bylaws, articles of association or other analogous document(s), as applicable (in each case, as amended, amended and restated, replaced, supplemented or otherwise modified from time to time);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05"/>
        <w:gridCol w:w="9863"/>
      </w:tblGrid>
      <w:tr>
        <w:trPr/>
        <w:tc>
          <w:tcPr>
            <w:tcW w:w="3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(ix)</w:t>
            </w:r>
          </w:p>
        </w:tc>
        <w:tc>
          <w:tcPr>
            <w:tcW w:w="9863" w:type="dxa"/>
            <w:tcBorders/>
            <w:vAlign w:val="center"/>
          </w:tcPr>
          <w:p>
            <w:pPr>
              <w:pStyle w:val="TableContents"/>
              <w:bidi w:val="0"/>
              <w:spacing w:before="0" w:after="283"/>
              <w:jc w:val="both"/>
              <w:rPr/>
            </w:pPr>
            <w:r>
              <w:rPr/>
              <w:t>“</w:t>
            </w:r>
            <w:r>
              <w:rPr>
                <w:b/>
                <w:i/>
              </w:rPr>
              <w:t>Governmental Authority</w:t>
            </w:r>
            <w:r>
              <w:rPr/>
              <w:t>” means any nation or government, any state or other political subdivision thereof, and any entity exercising executive, legislative, judicial, regulatory or administrative functions of or pertaining to government;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2"/>
        <w:gridCol w:w="479"/>
        <w:gridCol w:w="9664"/>
      </w:tblGrid>
      <w:tr>
        <w:trPr/>
        <w:tc>
          <w:tcPr>
            <w:tcW w:w="6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pPr>
            <w:r>
              <w:rPr/>
              <w:t>(x)</w:t>
            </w:r>
          </w:p>
        </w:tc>
        <w:tc>
          <w:tcPr>
            <w:tcW w:w="9664" w:type="dxa"/>
            <w:tcBorders/>
            <w:vAlign w:val="center"/>
          </w:tcPr>
          <w:p>
            <w:pPr>
              <w:pStyle w:val="TableContents"/>
              <w:bidi w:val="0"/>
              <w:spacing w:before="0" w:after="283"/>
              <w:jc w:val="both"/>
              <w:rPr/>
            </w:pPr>
            <w:r>
              <w:rPr/>
              <w:t>“</w:t>
            </w:r>
            <w:r>
              <w:rPr>
                <w:b/>
                <w:i/>
              </w:rPr>
              <w:t>Local Business Day</w:t>
            </w:r>
            <w:r>
              <w:rPr/>
              <w:t>” means London, United Kingdom;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(xi)</w:t>
            </w:r>
          </w:p>
        </w:tc>
        <w:tc>
          <w:tcPr>
            <w:tcW w:w="9883" w:type="dxa"/>
            <w:tcBorders/>
            <w:vAlign w:val="center"/>
          </w:tcPr>
          <w:p>
            <w:pPr>
              <w:pStyle w:val="TableContents"/>
              <w:bidi w:val="0"/>
              <w:spacing w:before="0" w:after="283"/>
              <w:jc w:val="both"/>
              <w:rPr/>
            </w:pPr>
            <w:r>
              <w:rPr/>
              <w:t>“</w:t>
            </w:r>
            <w:r>
              <w:rPr>
                <w:b/>
                <w:i/>
              </w:rPr>
              <w:t>Sanctioned Person</w:t>
            </w:r>
            <w:r>
              <w:rPr/>
              <w:t>” means any person: (A) listed on any sanctions-related list of designated persons maintained by the Office of Foreign Assets Control of the U.S. Department of the Treasury, the U.S. Department of State, the United Nations Security Council, the European Union, His Majesty’s Treasury of the United Kingdom, or the competent sanctions authority of any other relevant jurisdiction; (B) located, organized, or resident in a country or territory that is, or whose government is, the subject of comprehensive territorial sanctions; or (C) owned 50 percent or more or controlled by any such person or persons described in the foregoing paragraphs (A) or (B).</w:t>
            </w:r>
          </w:p>
        </w:tc>
      </w:tr>
    </w:tbl>
    <w:p>
      <w:pPr>
        <w:pStyle w:val="TextBody"/>
        <w:bidi w:val="0"/>
        <w:spacing w:before="0" w:after="0"/>
        <w:jc w:val="left"/>
        <w:rPr/>
      </w:pPr>
      <w:r>
        <w:rPr/>
        <w:t> </w:t>
      </w:r>
    </w:p>
    <w:p>
      <w:pPr>
        <w:pStyle w:val="TextBody"/>
        <w:bidi w:val="0"/>
        <w:spacing w:before="0" w:after="0"/>
        <w:ind w:left="0" w:right="0" w:hanging="0"/>
        <w:jc w:val="center"/>
        <w:rPr>
          <w:i/>
          <w:sz w:val="20"/>
        </w:rPr>
      </w:pPr>
      <w:r>
        <w:rPr>
          <w:i/>
          <w:sz w:val="20"/>
        </w:rPr>
        <w:t>[Remainder of page intentionally left blank]</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bdr w:val="single" w:sz="32" w:space="1" w:color="000000"/>
        </w:rPr>
      </w:pPr>
      <w:r>
        <w:rPr>
          <w:sz w:val="20"/>
          <w:bdr w:val="single" w:sz="3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b/>
          <w:sz w:val="20"/>
        </w:rPr>
        <w:t>IN WITNESS WHEREOF,</w:t>
      </w:r>
      <w:r>
        <w:rPr>
          <w:sz w:val="20"/>
        </w:rPr>
        <w:t xml:space="preserve"> the parties have executed this Schedule on the respective dates specified below, with effect from the date specified on the first page.</w:t>
      </w:r>
    </w:p>
    <w:p>
      <w:pPr>
        <w:pStyle w:val="TextBody"/>
        <w:bidi w:val="0"/>
        <w:spacing w:before="0" w:after="0"/>
        <w:ind w:left="0" w:right="0" w:firstLine="72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479"/>
        <w:gridCol w:w="6340"/>
        <w:gridCol w:w="545"/>
        <w:gridCol w:w="841"/>
      </w:tblGrid>
      <w:tr>
        <w:trPr/>
        <w:tc>
          <w:tcPr>
            <w:tcW w:w="8819" w:type="dxa"/>
            <w:gridSpan w:val="2"/>
            <w:tcBorders/>
            <w:vAlign w:val="center"/>
          </w:tcPr>
          <w:p>
            <w:pPr>
              <w:pStyle w:val="TableContents"/>
              <w:bidi w:val="0"/>
              <w:spacing w:before="0" w:after="283"/>
              <w:ind w:left="0" w:right="0" w:hanging="720"/>
              <w:jc w:val="center"/>
              <w:rPr>
                <w:b/>
                <w:sz w:val="20"/>
              </w:rPr>
            </w:pPr>
            <w:r>
              <w:rPr>
                <w:b/>
                <w:sz w:val="20"/>
              </w:rPr>
              <w:t>BLOCKCHAIN.COM (BVI) II LIMITED</w:t>
            </w:r>
          </w:p>
        </w:tc>
        <w:tc>
          <w:tcPr>
            <w:tcW w:w="1386" w:type="dxa"/>
            <w:gridSpan w:val="2"/>
            <w:tcBorders/>
            <w:vAlign w:val="center"/>
          </w:tcPr>
          <w:p>
            <w:pPr>
              <w:pStyle w:val="TableContents"/>
              <w:bidi w:val="0"/>
              <w:spacing w:before="0" w:after="283"/>
              <w:jc w:val="center"/>
              <w:rPr>
                <w:b/>
                <w:sz w:val="20"/>
              </w:rPr>
            </w:pPr>
            <w:r>
              <w:rPr>
                <w:b/>
                <w:sz w:val="20"/>
              </w:rPr>
              <w:t>SONO GROUP N.V.</w:t>
            </w:r>
          </w:p>
        </w:tc>
      </w:tr>
      <w:tr>
        <w:trPr/>
        <w:tc>
          <w:tcPr>
            <w:tcW w:w="8819" w:type="dxa"/>
            <w:gridSpan w:val="2"/>
            <w:tcBorders/>
            <w:vAlign w:val="center"/>
          </w:tcPr>
          <w:p>
            <w:pPr>
              <w:pStyle w:val="TableContents"/>
              <w:bidi w:val="0"/>
              <w:spacing w:before="0" w:after="0"/>
              <w:ind w:left="720" w:right="0" w:hanging="720"/>
              <w:jc w:val="left"/>
              <w:rPr/>
            </w:pPr>
            <w:r>
              <w:rPr/>
              <w:t> </w:t>
            </w:r>
          </w:p>
          <w:p>
            <w:pPr>
              <w:pStyle w:val="TableContents"/>
              <w:bidi w:val="0"/>
              <w:spacing w:before="0" w:after="0"/>
              <w:ind w:left="720" w:right="0" w:hanging="720"/>
              <w:jc w:val="left"/>
              <w:rPr/>
            </w:pPr>
            <w:r>
              <w:rPr/>
              <w:t> </w:t>
            </w:r>
          </w:p>
          <w:p>
            <w:pPr>
              <w:pStyle w:val="TableContents"/>
              <w:bidi w:val="0"/>
              <w:spacing w:before="0" w:after="0"/>
              <w:ind w:left="720" w:right="0" w:hanging="720"/>
              <w:jc w:val="left"/>
              <w:rPr/>
            </w:pPr>
            <w:r>
              <w:rPr/>
              <w:t> </w:t>
            </w:r>
          </w:p>
          <w:p>
            <w:pPr>
              <w:pStyle w:val="TableContents"/>
              <w:bidi w:val="0"/>
              <w:spacing w:before="0" w:after="0"/>
              <w:ind w:left="720" w:right="0" w:hanging="720"/>
              <w:jc w:val="left"/>
              <w:rPr/>
            </w:pPr>
            <w:r>
              <w:rPr/>
              <w:t> </w:t>
            </w:r>
          </w:p>
          <w:p>
            <w:pPr>
              <w:pStyle w:val="TableContents"/>
              <w:bidi w:val="0"/>
              <w:spacing w:before="0" w:after="0"/>
              <w:ind w:left="720" w:right="0" w:hanging="720"/>
              <w:jc w:val="left"/>
              <w:rPr>
                <w:sz w:val="20"/>
              </w:rPr>
            </w:pPr>
            <w:r>
              <w:rPr>
                <w:sz w:val="20"/>
              </w:rPr>
              <w:t>By: /s/ Allan Gregory Boyd</w:t>
            </w:r>
          </w:p>
          <w:p>
            <w:pPr>
              <w:pStyle w:val="TableContents"/>
              <w:bidi w:val="0"/>
              <w:spacing w:before="0" w:after="0"/>
              <w:ind w:left="720" w:right="0" w:hanging="720"/>
              <w:jc w:val="left"/>
              <w:rPr/>
            </w:pPr>
            <w:r>
              <w:rPr/>
              <w:t> </w:t>
            </w:r>
          </w:p>
        </w:tc>
        <w:tc>
          <w:tcPr>
            <w:tcW w:w="1386" w:type="dxa"/>
            <w:gridSpan w:val="2"/>
            <w:tcBorders/>
            <w:vAlign w:val="center"/>
          </w:tcPr>
          <w:p>
            <w:pPr>
              <w:pStyle w:val="TableContents"/>
              <w:bidi w:val="0"/>
              <w:spacing w:before="0" w:after="0"/>
              <w:ind w:left="720" w:right="0" w:hanging="720"/>
              <w:jc w:val="left"/>
              <w:rPr/>
            </w:pPr>
            <w:r>
              <w:rPr/>
              <w:t> </w:t>
            </w:r>
          </w:p>
          <w:p>
            <w:pPr>
              <w:pStyle w:val="TableContents"/>
              <w:bidi w:val="0"/>
              <w:spacing w:before="0" w:after="0"/>
              <w:ind w:left="720" w:right="0" w:hanging="720"/>
              <w:jc w:val="left"/>
              <w:rPr/>
            </w:pPr>
            <w:r>
              <w:rPr/>
              <w:t> </w:t>
            </w:r>
          </w:p>
          <w:p>
            <w:pPr>
              <w:pStyle w:val="TableContents"/>
              <w:bidi w:val="0"/>
              <w:spacing w:before="0" w:after="0"/>
              <w:ind w:left="720" w:right="0" w:hanging="720"/>
              <w:jc w:val="left"/>
              <w:rPr/>
            </w:pPr>
            <w:r>
              <w:rPr/>
              <w:t> </w:t>
            </w:r>
          </w:p>
          <w:p>
            <w:pPr>
              <w:pStyle w:val="TableContents"/>
              <w:bidi w:val="0"/>
              <w:spacing w:before="0" w:after="0"/>
              <w:ind w:left="720" w:right="0" w:hanging="720"/>
              <w:jc w:val="left"/>
              <w:rPr/>
            </w:pPr>
            <w:r>
              <w:rPr/>
              <w:t> </w:t>
            </w:r>
          </w:p>
          <w:p>
            <w:pPr>
              <w:pStyle w:val="TableContents"/>
              <w:bidi w:val="0"/>
              <w:spacing w:before="0" w:after="0"/>
              <w:ind w:left="720" w:right="0" w:hanging="720"/>
              <w:jc w:val="left"/>
              <w:rPr>
                <w:sz w:val="20"/>
              </w:rPr>
            </w:pPr>
            <w:r>
              <w:rPr>
                <w:sz w:val="20"/>
              </w:rPr>
              <w:t>By:</w:t>
              <w:tab/>
              <w:t>/s/ Kevin J. McGurn</w:t>
            </w:r>
          </w:p>
          <w:p>
            <w:pPr>
              <w:pStyle w:val="TableContents"/>
              <w:bidi w:val="0"/>
              <w:spacing w:before="0" w:after="0"/>
              <w:ind w:left="0" w:right="0" w:hanging="720"/>
              <w:jc w:val="left"/>
              <w:rPr/>
            </w:pPr>
            <w:r>
              <w:rPr/>
              <w:t> </w:t>
            </w:r>
          </w:p>
        </w:tc>
      </w:tr>
      <w:tr>
        <w:trPr/>
        <w:tc>
          <w:tcPr>
            <w:tcW w:w="2479" w:type="dxa"/>
            <w:tcBorders/>
            <w:vAlign w:val="center"/>
          </w:tcPr>
          <w:p>
            <w:pPr>
              <w:pStyle w:val="TableContents"/>
              <w:bidi w:val="0"/>
              <w:spacing w:before="0" w:after="283"/>
              <w:ind w:left="0" w:right="0" w:hanging="720"/>
              <w:jc w:val="left"/>
              <w:rPr>
                <w:sz w:val="20"/>
              </w:rPr>
            </w:pPr>
            <w:r>
              <w:rPr>
                <w:sz w:val="20"/>
              </w:rPr>
              <w:t>Name:</w:t>
            </w:r>
          </w:p>
        </w:tc>
        <w:tc>
          <w:tcPr>
            <w:tcW w:w="6340" w:type="dxa"/>
            <w:tcBorders/>
            <w:vAlign w:val="center"/>
          </w:tcPr>
          <w:p>
            <w:pPr>
              <w:pStyle w:val="TableContents"/>
              <w:bidi w:val="0"/>
              <w:spacing w:before="0" w:after="283"/>
              <w:ind w:left="0" w:right="0" w:hanging="720"/>
              <w:jc w:val="left"/>
              <w:rPr>
                <w:sz w:val="20"/>
              </w:rPr>
            </w:pPr>
            <w:r>
              <w:rPr>
                <w:sz w:val="20"/>
              </w:rPr>
              <w:t>Allan Gregory Boyd</w:t>
            </w:r>
          </w:p>
        </w:tc>
        <w:tc>
          <w:tcPr>
            <w:tcW w:w="545" w:type="dxa"/>
            <w:tcBorders/>
            <w:vAlign w:val="center"/>
          </w:tcPr>
          <w:p>
            <w:pPr>
              <w:pStyle w:val="TableContents"/>
              <w:bidi w:val="0"/>
              <w:spacing w:before="0" w:after="283"/>
              <w:ind w:left="0" w:right="0" w:hanging="720"/>
              <w:jc w:val="left"/>
              <w:rPr>
                <w:sz w:val="20"/>
              </w:rPr>
            </w:pPr>
            <w:r>
              <w:rPr>
                <w:sz w:val="20"/>
              </w:rPr>
              <w:t>Name:</w:t>
            </w:r>
          </w:p>
        </w:tc>
        <w:tc>
          <w:tcPr>
            <w:tcW w:w="841" w:type="dxa"/>
            <w:tcBorders/>
            <w:vAlign w:val="center"/>
          </w:tcPr>
          <w:p>
            <w:pPr>
              <w:pStyle w:val="TableContents"/>
              <w:bidi w:val="0"/>
              <w:spacing w:before="0" w:after="283"/>
              <w:ind w:left="0" w:right="0" w:hanging="720"/>
              <w:jc w:val="left"/>
              <w:rPr>
                <w:sz w:val="20"/>
              </w:rPr>
            </w:pPr>
            <w:r>
              <w:rPr>
                <w:sz w:val="20"/>
              </w:rPr>
              <w:t>Kevin J. McGurn</w:t>
            </w:r>
          </w:p>
        </w:tc>
      </w:tr>
      <w:tr>
        <w:trPr/>
        <w:tc>
          <w:tcPr>
            <w:tcW w:w="2479" w:type="dxa"/>
            <w:tcBorders/>
            <w:vAlign w:val="center"/>
          </w:tcPr>
          <w:p>
            <w:pPr>
              <w:pStyle w:val="TableContents"/>
              <w:bidi w:val="0"/>
              <w:spacing w:before="0" w:after="283"/>
              <w:ind w:left="0" w:right="0" w:hanging="720"/>
              <w:jc w:val="left"/>
              <w:rPr/>
            </w:pPr>
            <w:r>
              <w:rPr/>
              <w:t> </w:t>
            </w:r>
          </w:p>
        </w:tc>
        <w:tc>
          <w:tcPr>
            <w:tcW w:w="6340" w:type="dxa"/>
            <w:tcBorders/>
            <w:vAlign w:val="center"/>
          </w:tcPr>
          <w:p>
            <w:pPr>
              <w:pStyle w:val="TableContents"/>
              <w:bidi w:val="0"/>
              <w:spacing w:before="0" w:after="283"/>
              <w:ind w:left="0" w:right="0" w:hanging="720"/>
              <w:jc w:val="left"/>
              <w:rPr/>
            </w:pPr>
            <w:r>
              <w:rPr/>
              <w:t> </w:t>
            </w:r>
          </w:p>
        </w:tc>
        <w:tc>
          <w:tcPr>
            <w:tcW w:w="545" w:type="dxa"/>
            <w:tcBorders/>
            <w:vAlign w:val="center"/>
          </w:tcPr>
          <w:p>
            <w:pPr>
              <w:pStyle w:val="TableContents"/>
              <w:bidi w:val="0"/>
              <w:spacing w:before="0" w:after="283"/>
              <w:ind w:left="0" w:right="0" w:hanging="720"/>
              <w:jc w:val="left"/>
              <w:rPr/>
            </w:pPr>
            <w:r>
              <w:rPr/>
              <w:t> </w:t>
            </w:r>
          </w:p>
        </w:tc>
        <w:tc>
          <w:tcPr>
            <w:tcW w:w="841" w:type="dxa"/>
            <w:tcBorders/>
            <w:vAlign w:val="center"/>
          </w:tcPr>
          <w:p>
            <w:pPr>
              <w:pStyle w:val="TableContents"/>
              <w:bidi w:val="0"/>
              <w:spacing w:before="0" w:after="283"/>
              <w:ind w:left="0" w:right="0" w:hanging="720"/>
              <w:jc w:val="left"/>
              <w:rPr/>
            </w:pPr>
            <w:r>
              <w:rPr/>
              <w:t> </w:t>
            </w:r>
          </w:p>
        </w:tc>
      </w:tr>
      <w:tr>
        <w:trPr/>
        <w:tc>
          <w:tcPr>
            <w:tcW w:w="2479" w:type="dxa"/>
            <w:tcBorders/>
            <w:vAlign w:val="center"/>
          </w:tcPr>
          <w:p>
            <w:pPr>
              <w:pStyle w:val="TableContents"/>
              <w:bidi w:val="0"/>
              <w:spacing w:before="0" w:after="283"/>
              <w:ind w:left="0" w:right="0" w:hanging="720"/>
              <w:jc w:val="left"/>
              <w:rPr>
                <w:sz w:val="20"/>
              </w:rPr>
            </w:pPr>
            <w:r>
              <w:rPr>
                <w:sz w:val="20"/>
              </w:rPr>
              <w:t>Title:</w:t>
            </w:r>
          </w:p>
        </w:tc>
        <w:tc>
          <w:tcPr>
            <w:tcW w:w="6340" w:type="dxa"/>
            <w:tcBorders/>
            <w:vAlign w:val="center"/>
          </w:tcPr>
          <w:p>
            <w:pPr>
              <w:pStyle w:val="TableContents"/>
              <w:bidi w:val="0"/>
              <w:spacing w:before="0" w:after="283"/>
              <w:ind w:left="0" w:right="0" w:hanging="720"/>
              <w:jc w:val="left"/>
              <w:rPr>
                <w:sz w:val="20"/>
              </w:rPr>
            </w:pPr>
            <w:r>
              <w:rPr>
                <w:sz w:val="20"/>
              </w:rPr>
              <w:t>Director</w:t>
            </w:r>
          </w:p>
        </w:tc>
        <w:tc>
          <w:tcPr>
            <w:tcW w:w="545" w:type="dxa"/>
            <w:tcBorders/>
            <w:vAlign w:val="center"/>
          </w:tcPr>
          <w:p>
            <w:pPr>
              <w:pStyle w:val="TableContents"/>
              <w:bidi w:val="0"/>
              <w:spacing w:before="0" w:after="283"/>
              <w:ind w:left="0" w:right="0" w:hanging="720"/>
              <w:jc w:val="left"/>
              <w:rPr>
                <w:sz w:val="20"/>
              </w:rPr>
            </w:pPr>
            <w:r>
              <w:rPr>
                <w:sz w:val="20"/>
              </w:rPr>
              <w:t>Title:</w:t>
            </w:r>
          </w:p>
        </w:tc>
        <w:tc>
          <w:tcPr>
            <w:tcW w:w="841" w:type="dxa"/>
            <w:tcBorders/>
            <w:vAlign w:val="center"/>
          </w:tcPr>
          <w:p>
            <w:pPr>
              <w:pStyle w:val="TableContents"/>
              <w:bidi w:val="0"/>
              <w:spacing w:before="0" w:after="283"/>
              <w:ind w:left="0" w:right="0" w:hanging="720"/>
              <w:jc w:val="left"/>
              <w:rPr>
                <w:sz w:val="20"/>
              </w:rPr>
            </w:pPr>
            <w:r>
              <w:rPr>
                <w:sz w:val="20"/>
              </w:rPr>
              <w:t xml:space="preserve">CEO, Sono Group N.V. </w:t>
            </w:r>
          </w:p>
        </w:tc>
      </w:tr>
      <w:tr>
        <w:trPr/>
        <w:tc>
          <w:tcPr>
            <w:tcW w:w="2479" w:type="dxa"/>
            <w:tcBorders/>
            <w:vAlign w:val="center"/>
          </w:tcPr>
          <w:p>
            <w:pPr>
              <w:pStyle w:val="TableContents"/>
              <w:bidi w:val="0"/>
              <w:spacing w:before="0" w:after="283"/>
              <w:ind w:left="0" w:right="0" w:hanging="720"/>
              <w:jc w:val="left"/>
              <w:rPr/>
            </w:pPr>
            <w:r>
              <w:rPr/>
              <w:t> </w:t>
            </w:r>
          </w:p>
        </w:tc>
        <w:tc>
          <w:tcPr>
            <w:tcW w:w="6340" w:type="dxa"/>
            <w:tcBorders/>
            <w:vAlign w:val="center"/>
          </w:tcPr>
          <w:p>
            <w:pPr>
              <w:pStyle w:val="TableContents"/>
              <w:bidi w:val="0"/>
              <w:spacing w:before="0" w:after="283"/>
              <w:ind w:left="0" w:right="0" w:hanging="720"/>
              <w:jc w:val="left"/>
              <w:rPr/>
            </w:pPr>
            <w:r>
              <w:rPr/>
              <w:t> </w:t>
            </w:r>
          </w:p>
        </w:tc>
        <w:tc>
          <w:tcPr>
            <w:tcW w:w="545" w:type="dxa"/>
            <w:tcBorders/>
            <w:vAlign w:val="center"/>
          </w:tcPr>
          <w:p>
            <w:pPr>
              <w:pStyle w:val="TableContents"/>
              <w:bidi w:val="0"/>
              <w:spacing w:before="0" w:after="283"/>
              <w:ind w:left="0" w:right="0" w:hanging="720"/>
              <w:jc w:val="left"/>
              <w:rPr/>
            </w:pPr>
            <w:r>
              <w:rPr/>
              <w:t> </w:t>
            </w:r>
          </w:p>
        </w:tc>
        <w:tc>
          <w:tcPr>
            <w:tcW w:w="841" w:type="dxa"/>
            <w:tcBorders/>
            <w:vAlign w:val="center"/>
          </w:tcPr>
          <w:p>
            <w:pPr>
              <w:pStyle w:val="TableContents"/>
              <w:bidi w:val="0"/>
              <w:spacing w:before="0" w:after="283"/>
              <w:jc w:val="left"/>
              <w:rPr/>
            </w:pPr>
            <w:r>
              <w:rPr/>
              <w:t> </w:t>
            </w:r>
          </w:p>
        </w:tc>
      </w:tr>
      <w:tr>
        <w:trPr/>
        <w:tc>
          <w:tcPr>
            <w:tcW w:w="8819" w:type="dxa"/>
            <w:gridSpan w:val="2"/>
            <w:tcBorders/>
            <w:vAlign w:val="center"/>
          </w:tcPr>
          <w:p>
            <w:pPr>
              <w:pStyle w:val="TableContents"/>
              <w:bidi w:val="0"/>
              <w:spacing w:before="0" w:after="0"/>
              <w:ind w:left="0" w:right="0" w:hanging="0"/>
              <w:jc w:val="left"/>
              <w:rPr>
                <w:sz w:val="20"/>
              </w:rPr>
            </w:pPr>
            <w:r>
              <w:rPr>
                <w:sz w:val="20"/>
              </w:rPr>
              <w:t>The entity that you are contracting with is Blockchain.com (BVI) II Limited (which is a separate entity from Blockchain.com (Singapore) Pte. Ltd.).</w:t>
            </w:r>
          </w:p>
          <w:p>
            <w:pPr>
              <w:pStyle w:val="TableContents"/>
              <w:bidi w:val="0"/>
              <w:spacing w:before="0" w:after="0"/>
              <w:ind w:left="0" w:right="0" w:hanging="0"/>
              <w:jc w:val="left"/>
              <w:rPr/>
            </w:pPr>
            <w:r>
              <w:rPr/>
              <w:t> </w:t>
            </w:r>
          </w:p>
          <w:p>
            <w:pPr>
              <w:pStyle w:val="TableContents"/>
              <w:bidi w:val="0"/>
              <w:spacing w:before="0" w:after="0"/>
              <w:ind w:left="0" w:right="0" w:hanging="0"/>
              <w:jc w:val="left"/>
              <w:rPr>
                <w:sz w:val="20"/>
              </w:rPr>
            </w:pPr>
            <w:r>
              <w:rPr>
                <w:sz w:val="20"/>
              </w:rPr>
              <w:t>Blockchain.com (BVI) II Limited, and its trading business, are not regulated by the Monetary Authority of Singapore (“</w:t>
            </w:r>
            <w:r>
              <w:rPr>
                <w:b/>
                <w:sz w:val="20"/>
              </w:rPr>
              <w:t>MAS</w:t>
            </w:r>
            <w:r>
              <w:rPr>
                <w:sz w:val="20"/>
              </w:rPr>
              <w:t>”).</w:t>
            </w:r>
          </w:p>
          <w:p>
            <w:pPr>
              <w:pStyle w:val="TableContents"/>
              <w:bidi w:val="0"/>
              <w:spacing w:before="0" w:after="0"/>
              <w:ind w:left="0" w:right="0" w:hanging="0"/>
              <w:jc w:val="left"/>
              <w:rPr/>
            </w:pPr>
            <w:r>
              <w:rPr/>
              <w:t> </w:t>
            </w:r>
          </w:p>
          <w:p>
            <w:pPr>
              <w:pStyle w:val="TableContents"/>
              <w:bidi w:val="0"/>
              <w:spacing w:before="0" w:after="0"/>
              <w:ind w:left="0" w:right="0" w:hanging="0"/>
              <w:jc w:val="left"/>
              <w:rPr>
                <w:sz w:val="20"/>
              </w:rPr>
            </w:pPr>
            <w:r>
              <w:rPr>
                <w:sz w:val="20"/>
              </w:rPr>
              <w:t>As Blockchain.com (BVI) II Limited, and its trading business, are not regulated by MAS, you will not have the benefit of any regulatory safeguards or protections that would be applicable to financial or payment products and services which are regulated by MAS.</w:t>
            </w:r>
          </w:p>
          <w:p>
            <w:pPr>
              <w:pStyle w:val="TableContents"/>
              <w:bidi w:val="0"/>
              <w:spacing w:before="0" w:after="0"/>
              <w:ind w:left="0" w:right="0" w:hanging="720"/>
              <w:jc w:val="left"/>
              <w:rPr/>
            </w:pPr>
            <w:r>
              <w:rPr/>
              <w:t> </w:t>
            </w:r>
          </w:p>
        </w:tc>
        <w:tc>
          <w:tcPr>
            <w:tcW w:w="1386" w:type="dxa"/>
            <w:gridSpan w:val="2"/>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ind w:left="0" w:right="0" w:hanging="0"/>
        <w:jc w:val="right"/>
        <w:rPr>
          <w:b/>
        </w:rPr>
      </w:pPr>
      <w:bookmarkStart w:id="28" w:name="exh_103.htm"/>
      <w:bookmarkStart w:id="29" w:name="ksexh_103"/>
      <w:bookmarkEnd w:id="28"/>
      <w:bookmarkEnd w:id="29"/>
      <w:r>
        <w:rPr>
          <w:b/>
        </w:rPr>
        <w:t>Exhibit 10.3</w:t>
      </w:r>
      <w:r>
        <w:br w:type="page"/>
      </w:r>
    </w:p>
    <w:p>
      <w:pPr>
        <w:pStyle w:val="TextBody"/>
        <w:bidi w:val="0"/>
        <w:spacing w:before="0" w:after="283"/>
        <w:jc w:val="left"/>
        <w:rPr/>
      </w:pPr>
      <w:r>
        <w:rPr/>
        <w:t> </w:t>
      </w:r>
    </w:p>
    <w:tbl>
      <w:tblPr>
        <w:tblW w:w="5980" w:type="dxa"/>
        <w:jc w:val="left"/>
        <w:tblInd w:w="0" w:type="dxa"/>
        <w:tblLayout w:type="fixed"/>
        <w:tblCellMar>
          <w:top w:w="0" w:type="dxa"/>
          <w:left w:w="0" w:type="dxa"/>
          <w:bottom w:w="0" w:type="dxa"/>
          <w:right w:w="0" w:type="dxa"/>
        </w:tblCellMar>
      </w:tblPr>
      <w:tblGrid>
        <w:gridCol w:w="2345"/>
        <w:gridCol w:w="3635"/>
      </w:tblGrid>
      <w:tr>
        <w:trPr/>
        <w:tc>
          <w:tcPr>
            <w:tcW w:w="2345" w:type="dxa"/>
            <w:tcBorders/>
            <w:vAlign w:val="center"/>
          </w:tcPr>
          <w:p>
            <w:pPr>
              <w:pStyle w:val="TableContents"/>
              <w:bidi w:val="0"/>
              <w:spacing w:before="0" w:after="283"/>
              <w:jc w:val="left"/>
              <w:rPr>
                <w:b/>
                <w:sz w:val="20"/>
              </w:rPr>
            </w:pPr>
            <w:r>
              <w:rPr>
                <w:b/>
                <w:sz w:val="20"/>
              </w:rPr>
              <w:t>(Bilateral Form - Transfer)</w:t>
            </w:r>
          </w:p>
        </w:tc>
        <w:tc>
          <w:tcPr>
            <w:tcW w:w="3635" w:type="dxa"/>
            <w:tcBorders/>
            <w:vAlign w:val="center"/>
          </w:tcPr>
          <w:p>
            <w:pPr>
              <w:pStyle w:val="TableContents"/>
              <w:bidi w:val="0"/>
              <w:spacing w:before="0" w:after="283"/>
              <w:jc w:val="right"/>
              <w:rPr>
                <w:b/>
                <w:sz w:val="20"/>
              </w:rPr>
            </w:pPr>
            <w:r>
              <w:rPr>
                <w:b/>
                <w:sz w:val="20"/>
              </w:rPr>
              <w:t>(ISDA Agreements Subject to English Law)</w:t>
            </w:r>
          </w:p>
        </w:tc>
      </w:tr>
    </w:tbl>
    <w:p>
      <w:pPr>
        <w:pStyle w:val="TextBody"/>
        <w:bidi w:val="0"/>
        <w:spacing w:before="0" w:after="0"/>
        <w:ind w:left="0" w:right="0" w:hanging="0"/>
        <w:jc w:val="left"/>
        <w:rPr/>
      </w:pPr>
      <w:r>
        <w:rPr/>
        <w:t> </w:t>
      </w:r>
    </w:p>
    <w:p>
      <w:pPr>
        <w:pStyle w:val="TextBody"/>
        <w:bidi w:val="0"/>
        <w:spacing w:before="0" w:after="0"/>
        <w:ind w:left="39" w:right="0" w:firstLine="39"/>
        <w:jc w:val="center"/>
        <w:rPr>
          <w:b/>
          <w:sz w:val="48"/>
        </w:rPr>
      </w:pPr>
      <w:r>
        <w:rPr>
          <w:b/>
          <w:sz w:val="48"/>
        </w:rPr>
        <w:t>ISDA</w:t>
      </w:r>
      <w:r>
        <w:rPr>
          <w:b/>
          <w:sz w:val="20"/>
        </w:rPr>
        <w:t>®</w:t>
      </w:r>
    </w:p>
    <w:p>
      <w:pPr>
        <w:pStyle w:val="TextBody"/>
        <w:bidi w:val="0"/>
        <w:spacing w:before="0" w:after="0"/>
        <w:ind w:left="73" w:right="0" w:hanging="0"/>
        <w:jc w:val="center"/>
        <w:rPr>
          <w:sz w:val="20"/>
        </w:rPr>
      </w:pPr>
      <w:r>
        <w:rPr>
          <w:sz w:val="20"/>
        </w:rPr>
        <w:t>International Swaps and Derivatives Association, Inc.</w:t>
      </w:r>
    </w:p>
    <w:p>
      <w:pPr>
        <w:pStyle w:val="TextBody"/>
        <w:bidi w:val="0"/>
        <w:spacing w:before="0" w:after="0"/>
        <w:ind w:left="0" w:right="0" w:hanging="0"/>
        <w:jc w:val="left"/>
        <w:rPr/>
      </w:pPr>
      <w:r>
        <w:rPr/>
        <w:t> </w:t>
      </w:r>
    </w:p>
    <w:p>
      <w:pPr>
        <w:pStyle w:val="TextBody"/>
        <w:bidi w:val="0"/>
        <w:spacing w:before="0" w:after="0"/>
        <w:ind w:left="8" w:right="0" w:hanging="0"/>
        <w:jc w:val="center"/>
        <w:rPr>
          <w:b/>
          <w:sz w:val="48"/>
        </w:rPr>
      </w:pPr>
      <w:r>
        <w:rPr>
          <w:b/>
          <w:sz w:val="48"/>
        </w:rPr>
        <w:t>CREDIT SUPPORT ANNEX</w:t>
      </w:r>
    </w:p>
    <w:p>
      <w:pPr>
        <w:pStyle w:val="TextBody"/>
        <w:bidi w:val="0"/>
        <w:spacing w:before="0" w:after="0"/>
        <w:ind w:left="1" w:right="0" w:hanging="0"/>
        <w:jc w:val="center"/>
        <w:rPr>
          <w:sz w:val="20"/>
        </w:rPr>
      </w:pPr>
      <w:r>
        <w:rPr>
          <w:sz w:val="20"/>
        </w:rPr>
        <w:t>to the Schedule to the</w:t>
      </w:r>
    </w:p>
    <w:p>
      <w:pPr>
        <w:pStyle w:val="TextBody"/>
        <w:bidi w:val="0"/>
        <w:spacing w:before="0" w:after="0"/>
        <w:ind w:left="24" w:right="0" w:hanging="0"/>
        <w:jc w:val="center"/>
        <w:rPr>
          <w:b/>
          <w:sz w:val="36"/>
        </w:rPr>
      </w:pPr>
      <w:r>
        <w:rPr>
          <w:b/>
          <w:sz w:val="36"/>
        </w:rPr>
        <w:t>2002 ISDA Master Agreement</w:t>
      </w:r>
    </w:p>
    <w:p>
      <w:pPr>
        <w:pStyle w:val="TextBody"/>
        <w:bidi w:val="0"/>
        <w:spacing w:before="0" w:after="0"/>
        <w:ind w:left="2875" w:right="2871" w:hanging="0"/>
        <w:jc w:val="center"/>
        <w:rPr>
          <w:sz w:val="20"/>
        </w:rPr>
      </w:pPr>
      <w:r>
        <w:rPr>
          <w:sz w:val="20"/>
        </w:rPr>
        <w:t>dated as of 10 March 2026</w:t>
      </w:r>
    </w:p>
    <w:p>
      <w:pPr>
        <w:pStyle w:val="TextBody"/>
        <w:bidi w:val="0"/>
        <w:spacing w:before="0" w:after="0"/>
        <w:ind w:left="2875" w:right="2871" w:hanging="0"/>
        <w:jc w:val="center"/>
        <w:rPr>
          <w:sz w:val="20"/>
        </w:rPr>
      </w:pPr>
      <w:r>
        <w:rPr>
          <w:sz w:val="20"/>
        </w:rPr>
        <w:t>between</w:t>
      </w:r>
    </w:p>
    <w:p>
      <w:pPr>
        <w:pStyle w:val="TextBody"/>
        <w:bidi w:val="0"/>
        <w:spacing w:before="0" w:after="0"/>
        <w:ind w:left="2875" w:right="2871" w:hanging="0"/>
        <w:jc w:val="center"/>
        <w:rPr/>
      </w:pPr>
      <w:r>
        <w:rPr/>
        <w:t> </w:t>
      </w:r>
    </w:p>
    <w:p>
      <w:pPr>
        <w:pStyle w:val="TextBody"/>
        <w:bidi w:val="0"/>
        <w:spacing w:before="0" w:after="0"/>
        <w:ind w:left="2875" w:right="2871" w:hanging="0"/>
        <w:jc w:val="center"/>
        <w:rPr/>
      </w:pPr>
      <w:r>
        <w:rPr/>
        <w:t> </w:t>
      </w:r>
    </w:p>
    <w:tbl>
      <w:tblPr>
        <w:tblW w:w="10205" w:type="dxa"/>
        <w:jc w:val="left"/>
        <w:tblInd w:w="0" w:type="dxa"/>
        <w:tblLayout w:type="fixed"/>
        <w:tblCellMar>
          <w:top w:w="0" w:type="dxa"/>
          <w:left w:w="0" w:type="dxa"/>
          <w:bottom w:w="0" w:type="dxa"/>
          <w:right w:w="0" w:type="dxa"/>
        </w:tblCellMar>
      </w:tblPr>
      <w:tblGrid>
        <w:gridCol w:w="6729"/>
        <w:gridCol w:w="96"/>
        <w:gridCol w:w="3380"/>
      </w:tblGrid>
      <w:tr>
        <w:trPr/>
        <w:tc>
          <w:tcPr>
            <w:tcW w:w="6729" w:type="dxa"/>
            <w:tcBorders/>
            <w:vAlign w:val="center"/>
          </w:tcPr>
          <w:p>
            <w:pPr>
              <w:pStyle w:val="TableContents"/>
              <w:bidi w:val="0"/>
              <w:spacing w:before="0" w:after="283"/>
              <w:jc w:val="center"/>
              <w:rPr/>
            </w:pPr>
            <w:r>
              <w:rPr/>
              <w:t>BLOCKCHAIN.COM (BVI) II LIMITED</w:t>
            </w:r>
          </w:p>
        </w:tc>
        <w:tc>
          <w:tcPr>
            <w:tcW w:w="96"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center"/>
              <w:rPr/>
            </w:pPr>
            <w:r>
              <w:rPr/>
              <w:t>SONO GROUP N.V.</w:t>
            </w:r>
          </w:p>
        </w:tc>
      </w:tr>
      <w:tr>
        <w:trPr/>
        <w:tc>
          <w:tcPr>
            <w:tcW w:w="10205" w:type="dxa"/>
            <w:gridSpan w:val="3"/>
            <w:tcBorders/>
            <w:vAlign w:val="center"/>
          </w:tcPr>
          <w:p>
            <w:pPr>
              <w:pStyle w:val="TableContents"/>
              <w:bidi w:val="0"/>
              <w:spacing w:before="0" w:after="283"/>
              <w:jc w:val="center"/>
              <w:rPr/>
            </w:pPr>
            <w:r>
              <w:rPr/>
              <w:t>.................................................................................... and .....................................................................................</w:t>
            </w:r>
          </w:p>
        </w:tc>
      </w:tr>
      <w:tr>
        <w:trPr/>
        <w:tc>
          <w:tcPr>
            <w:tcW w:w="6729" w:type="dxa"/>
            <w:tcBorders/>
            <w:vAlign w:val="center"/>
          </w:tcPr>
          <w:p>
            <w:pPr>
              <w:pStyle w:val="TableContents"/>
              <w:bidi w:val="0"/>
              <w:spacing w:before="0" w:after="283"/>
              <w:jc w:val="center"/>
              <w:rPr>
                <w:b/>
              </w:rPr>
            </w:pPr>
            <w:r>
              <w:rPr>
                <w:b/>
              </w:rPr>
              <w:t>("Party A")</w:t>
            </w:r>
          </w:p>
        </w:tc>
        <w:tc>
          <w:tcPr>
            <w:tcW w:w="96"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center"/>
              <w:rPr>
                <w:b/>
              </w:rPr>
            </w:pPr>
            <w:r>
              <w:rPr>
                <w:b/>
              </w:rPr>
              <w:t>("Party B")</w:t>
            </w:r>
          </w:p>
        </w:tc>
      </w:tr>
    </w:tbl>
    <w:p>
      <w:pPr>
        <w:pStyle w:val="TextBody"/>
        <w:bidi w:val="0"/>
        <w:spacing w:before="0" w:after="0"/>
        <w:ind w:left="2875" w:right="2871" w:hanging="0"/>
        <w:jc w:val="center"/>
        <w:rPr/>
      </w:pPr>
      <w:r>
        <w:rPr/>
        <w:t> </w:t>
      </w:r>
    </w:p>
    <w:p>
      <w:pPr>
        <w:pStyle w:val="TextBody"/>
        <w:bidi w:val="0"/>
        <w:spacing w:before="0" w:after="0"/>
        <w:ind w:left="159" w:right="0" w:hanging="0"/>
        <w:jc w:val="both"/>
        <w:rPr>
          <w:sz w:val="20"/>
        </w:rPr>
      </w:pPr>
      <w:r>
        <w:rPr>
          <w:sz w:val="20"/>
        </w:rPr>
        <w:t>This Annex supplements, forms part of, and is subject to, the ISDA Master Agreement referred to above and is part of its Schedule. For the purposes of this Agreement, including, without limitation, Sections 1(c), 2(a), 5 and 6, the credit support arrangements set out in this Annex constitute a Transaction (for which this Annex constitutes the Confirmation).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159" w:right="0" w:hanging="0"/>
        <w:jc w:val="both"/>
        <w:rPr>
          <w:b/>
          <w:sz w:val="20"/>
        </w:rPr>
      </w:pPr>
      <w:r>
        <w:rPr>
          <w:b/>
          <w:sz w:val="20"/>
        </w:rPr>
        <w:t>Paragraph 1. Interpretation</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sz w:val="20"/>
        </w:rPr>
        <w:t>Capitalised terms not otherwise defined in this Annex or elsewhere in this Agreement have the meanings specified pursuant to Paragraph 10, and all references in this Annex to Paragraphs are to Paragraphs of this Annex. In the event of any inconsistency between this Annex and the other provisions of this Schedule,this Annex will prevail, and in the event of any inconsistency between Paragraph 11 and the other provisions of this Annex, Paragraph 11 will prevail. For the avoidance of doubt, references to "transfer" in this Annex mean, in relation to cash, payment and, in relation to other assets, delivery.</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690" w:right="690" w:hanging="0"/>
        <w:jc w:val="left"/>
        <w:rPr/>
      </w:pPr>
      <w:r>
        <w:rPr/>
        <w:t> </w:t>
      </w:r>
    </w:p>
    <w:p>
      <w:pPr>
        <w:pStyle w:val="TextBody"/>
        <w:bidi w:val="0"/>
        <w:spacing w:before="0" w:after="0"/>
        <w:ind w:left="83" w:right="0" w:hanging="0"/>
        <w:jc w:val="center"/>
        <w:rPr>
          <w:sz w:val="16"/>
        </w:rPr>
      </w:pPr>
      <w:r>
        <w:rPr>
          <w:sz w:val="16"/>
        </w:rPr>
        <w:t>Copyright © 1995 by International Swaps and Derivatives Association, Inc.</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59" w:right="0" w:hanging="0"/>
        <w:jc w:val="left"/>
        <w:rPr>
          <w:b/>
          <w:sz w:val="20"/>
        </w:rPr>
      </w:pPr>
      <w:r>
        <w:rPr>
          <w:b/>
          <w:sz w:val="20"/>
        </w:rPr>
        <w:t>Paragraph 2. Credit Support Obligations</w:t>
      </w:r>
    </w:p>
    <w:p>
      <w:pPr>
        <w:pStyle w:val="TextBody"/>
        <w:bidi w:val="0"/>
        <w:spacing w:before="0" w:after="0"/>
        <w:ind w:left="0" w:right="0" w:hanging="0"/>
        <w:jc w:val="left"/>
        <w:rPr/>
      </w:pPr>
      <w:r>
        <w:rPr/>
        <w:t> </w:t>
      </w:r>
    </w:p>
    <w:p>
      <w:pPr>
        <w:pStyle w:val="TextBody"/>
        <w:bidi w:val="0"/>
        <w:spacing w:before="0" w:after="0"/>
        <w:ind w:left="159" w:right="0" w:hanging="0"/>
        <w:jc w:val="both"/>
        <w:rPr>
          <w:sz w:val="20"/>
        </w:rPr>
      </w:pPr>
      <w:r>
        <w:rPr>
          <w:sz w:val="20"/>
        </w:rPr>
        <w:t xml:space="preserve">(a)              </w:t>
      </w:r>
      <w:r>
        <w:rPr>
          <w:b/>
          <w:i/>
          <w:sz w:val="20"/>
        </w:rPr>
        <w:t xml:space="preserve">Delivery Amount. </w:t>
      </w:r>
      <w:r>
        <w:rPr>
          <w:sz w:val="20"/>
        </w:rPr>
        <w:t>Subject to Paragraphs 3 and 4, upon a demand made by the Transferee on or promptly following a Valuation Date, if the Delivery Amount for that Valuation Date equals or exceeds the Transferor's Minimum Transfer Amount, then the Transferor will transfer to the Transferee Eligible Credit Support having a Value as of the date of transfer at least equal to the applicable Delivery Amount (rounded pursuant to Paragraph 11(b)(iii)(D)). Unless otherwise specified in Paragraph 11(b), the "Delivery Amount" applicable to the Transferor for any Valuation Date will equal the amount by which:</w:t>
      </w:r>
    </w:p>
    <w:p>
      <w:pPr>
        <w:pStyle w:val="TextBody"/>
        <w:bidi w:val="0"/>
        <w:spacing w:before="0" w:after="0"/>
        <w:ind w:left="0" w:right="0" w:hanging="0"/>
        <w:jc w:val="both"/>
        <w:rPr/>
      </w:pPr>
      <w:r>
        <w:rPr/>
        <w:t> </w:t>
      </w:r>
    </w:p>
    <w:p>
      <w:pPr>
        <w:pStyle w:val="TextBody"/>
        <w:bidi w:val="0"/>
        <w:spacing w:before="0" w:after="0"/>
        <w:ind w:left="879" w:right="5415" w:hanging="0"/>
        <w:jc w:val="both"/>
        <w:rPr>
          <w:sz w:val="20"/>
        </w:rPr>
      </w:pPr>
      <w:r>
        <w:rPr>
          <w:sz w:val="20"/>
        </w:rPr>
        <w:t>(i) the Credit Support Amount</w:t>
      </w:r>
    </w:p>
    <w:p>
      <w:pPr>
        <w:pStyle w:val="TextBody"/>
        <w:bidi w:val="0"/>
        <w:spacing w:before="0" w:after="0"/>
        <w:ind w:left="879" w:right="5415" w:hanging="0"/>
        <w:jc w:val="both"/>
        <w:rPr/>
      </w:pPr>
      <w:r>
        <w:rPr/>
        <w:t> </w:t>
      </w:r>
    </w:p>
    <w:p>
      <w:pPr>
        <w:pStyle w:val="TextBody"/>
        <w:bidi w:val="0"/>
        <w:spacing w:before="0" w:after="0"/>
        <w:ind w:left="879" w:right="5415" w:hanging="0"/>
        <w:jc w:val="both"/>
        <w:rPr>
          <w:sz w:val="20"/>
        </w:rPr>
      </w:pPr>
      <w:r>
        <w:rPr>
          <w:sz w:val="20"/>
        </w:rPr>
        <w:t>exceeds</w:t>
      </w:r>
    </w:p>
    <w:p>
      <w:pPr>
        <w:pStyle w:val="TextBody"/>
        <w:bidi w:val="0"/>
        <w:spacing w:before="0" w:after="0"/>
        <w:ind w:left="879" w:right="5415" w:hanging="0"/>
        <w:jc w:val="both"/>
        <w:rPr/>
      </w:pPr>
      <w:r>
        <w:rPr/>
        <w:t> </w:t>
      </w:r>
    </w:p>
    <w:p>
      <w:pPr>
        <w:pStyle w:val="TextBody"/>
        <w:bidi w:val="0"/>
        <w:spacing w:before="0" w:after="0"/>
        <w:ind w:left="879" w:right="0" w:hanging="0"/>
        <w:jc w:val="both"/>
        <w:rPr>
          <w:sz w:val="20"/>
        </w:rPr>
      </w:pPr>
      <w:r>
        <w:rPr>
          <w:sz w:val="20"/>
        </w:rPr>
        <w:t>(ii) the Value as of that Valuation Date of the Transferor's Credit Support Balance (adjusted to include any prior Delivery Amount and to exclude any prior Return Amount, the transfer of which, in either case, has not yet been completed and for which the relevant Settlement Day falls on or after such Valuation Date).</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sz w:val="20"/>
        </w:rPr>
        <w:t xml:space="preserve">(b)              </w:t>
      </w:r>
      <w:r>
        <w:rPr>
          <w:b/>
          <w:i/>
          <w:sz w:val="20"/>
        </w:rPr>
        <w:t xml:space="preserve">Return Amount. </w:t>
      </w:r>
      <w:r>
        <w:rPr>
          <w:sz w:val="20"/>
        </w:rPr>
        <w:t>Subject to Paragraphs 3 and 4, upon a demand made by the Transferor on or promptly following a Valuation Date, if the Return Amount for that Valuation Date equals or exceeds the Transferee's Minimum Transfer Amount, then the Transferee will transfer to the Transferor Equivalent Credit Support specified by the Transferor in that demand having a Value as of the date of transfer as close as practicable to the applicable Return Amount (rounded pursuant to Paragraph 11(b)(iii)(D)) and the Credit Support Balance will, upon such transfer, be reduced accordingly. Unless otherwise specified in Paragraph 11(b), the "Return Amount" applicable to the Transferee for any Valuation Date will equal the amount by which:</w:t>
      </w:r>
    </w:p>
    <w:p>
      <w:pPr>
        <w:pStyle w:val="TextBody"/>
        <w:bidi w:val="0"/>
        <w:spacing w:before="0" w:after="0"/>
        <w:ind w:left="0" w:right="0" w:hanging="0"/>
        <w:jc w:val="both"/>
        <w:rPr/>
      </w:pPr>
      <w:r>
        <w:rPr/>
        <w:t> </w:t>
      </w:r>
    </w:p>
    <w:p>
      <w:pPr>
        <w:pStyle w:val="TextBody"/>
        <w:bidi w:val="0"/>
        <w:spacing w:before="0" w:after="0"/>
        <w:ind w:left="879" w:right="0" w:hanging="0"/>
        <w:jc w:val="both"/>
        <w:rPr>
          <w:sz w:val="20"/>
        </w:rPr>
      </w:pPr>
      <w:r>
        <w:rPr>
          <w:sz w:val="20"/>
        </w:rPr>
        <w:t>(i) the Value as of that Valuation Date of the Transferor's Credit Support Balance (adjusted to include any prior Delivery Amount and to exclude any prior Return Amount, the transfer of which, in either case, has not yet been completed and for which the relevant Settlement Day falls on or after such Valuation Date)</w:t>
      </w:r>
    </w:p>
    <w:p>
      <w:pPr>
        <w:pStyle w:val="TextBody"/>
        <w:bidi w:val="0"/>
        <w:spacing w:before="0" w:after="0"/>
        <w:ind w:left="0" w:right="0" w:hanging="0"/>
        <w:jc w:val="both"/>
        <w:rPr/>
      </w:pPr>
      <w:r>
        <w:rPr/>
        <w:t> </w:t>
      </w:r>
    </w:p>
    <w:p>
      <w:pPr>
        <w:pStyle w:val="TextBody"/>
        <w:bidi w:val="0"/>
        <w:spacing w:before="0" w:after="0"/>
        <w:ind w:left="879" w:right="0" w:hanging="0"/>
        <w:jc w:val="both"/>
        <w:rPr>
          <w:sz w:val="20"/>
        </w:rPr>
      </w:pPr>
      <w:r>
        <w:rPr>
          <w:sz w:val="20"/>
        </w:rPr>
        <w:t>exceeds</w:t>
      </w:r>
    </w:p>
    <w:p>
      <w:pPr>
        <w:pStyle w:val="TextBody"/>
        <w:bidi w:val="0"/>
        <w:spacing w:before="0" w:after="0"/>
        <w:ind w:left="0" w:right="0" w:hanging="0"/>
        <w:jc w:val="both"/>
        <w:rPr/>
      </w:pPr>
      <w:r>
        <w:rPr/>
        <w:t> </w:t>
      </w:r>
    </w:p>
    <w:p>
      <w:pPr>
        <w:pStyle w:val="TextBody"/>
        <w:bidi w:val="0"/>
        <w:spacing w:before="0" w:after="0"/>
        <w:ind w:left="879" w:right="0" w:hanging="0"/>
        <w:jc w:val="both"/>
        <w:rPr>
          <w:sz w:val="20"/>
        </w:rPr>
      </w:pPr>
      <w:r>
        <w:rPr>
          <w:sz w:val="20"/>
        </w:rPr>
        <w:t>(ii) the Credit Support Amount.</w:t>
      </w:r>
    </w:p>
    <w:p>
      <w:pPr>
        <w:pStyle w:val="TextBody"/>
        <w:bidi w:val="0"/>
        <w:spacing w:before="0" w:after="0"/>
        <w:ind w:left="0" w:right="0" w:hanging="0"/>
        <w:jc w:val="both"/>
        <w:rPr/>
      </w:pPr>
      <w:r>
        <w:rPr/>
        <w:t> </w:t>
      </w:r>
    </w:p>
    <w:p>
      <w:pPr>
        <w:pStyle w:val="TextBody"/>
        <w:bidi w:val="0"/>
        <w:spacing w:before="0" w:after="0"/>
        <w:ind w:left="160" w:right="0" w:firstLine="160"/>
        <w:jc w:val="both"/>
        <w:rPr>
          <w:b/>
          <w:sz w:val="20"/>
        </w:rPr>
      </w:pPr>
      <w:r>
        <w:rPr>
          <w:b/>
          <w:sz w:val="20"/>
        </w:rPr>
        <w:t>Paragraph 3. Transfers, Calculations and Exchanges</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sz w:val="20"/>
        </w:rPr>
        <w:t xml:space="preserve">(a)              </w:t>
      </w:r>
      <w:r>
        <w:rPr>
          <w:b/>
          <w:i/>
          <w:sz w:val="20"/>
        </w:rPr>
        <w:t>Transfers.</w:t>
        <w:tab/>
      </w:r>
      <w:r>
        <w:rPr>
          <w:sz w:val="20"/>
        </w:rPr>
        <w:t>All transfers under this Annex of any Eligible Credit Support, Equivalent Credit Support, Interest Amount or Equivalent Distributions shall be made in accordance with the instructions of the Transferee or Transferor, as applicable, and shall be made:</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4"/>
        <w:gridCol w:w="271"/>
        <w:gridCol w:w="9890"/>
      </w:tblGrid>
      <w:tr>
        <w:trPr/>
        <w:tc>
          <w:tcPr>
            <w:tcW w:w="4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(i)</w:t>
            </w:r>
          </w:p>
        </w:tc>
        <w:tc>
          <w:tcPr>
            <w:tcW w:w="9890" w:type="dxa"/>
            <w:tcBorders/>
            <w:vAlign w:val="center"/>
          </w:tcPr>
          <w:p>
            <w:pPr>
              <w:pStyle w:val="TableContents"/>
              <w:bidi w:val="0"/>
              <w:spacing w:before="0" w:after="283"/>
              <w:jc w:val="left"/>
              <w:rPr/>
            </w:pPr>
            <w:r>
              <w:rPr/>
              <w:t>in the case of cash, by transfer into one or more bank accounts specified by the recipient;</w:t>
            </w:r>
          </w:p>
        </w:tc>
      </w:tr>
    </w:tbl>
    <w:p>
      <w:pPr>
        <w:pStyle w:val="TextBody"/>
        <w:bidi w:val="0"/>
        <w:spacing w:before="0" w:after="0"/>
        <w:ind w:left="880" w:right="587"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80" w:right="587" w:hanging="0"/>
        <w:jc w:val="left"/>
        <w:rPr/>
      </w:pPr>
      <w:r>
        <w:rPr/>
        <w:t> </w:t>
      </w:r>
    </w:p>
    <w:p>
      <w:pPr>
        <w:pStyle w:val="TextBody"/>
        <w:bidi w:val="0"/>
        <w:spacing w:before="0" w:after="0"/>
        <w:ind w:left="880" w:right="0" w:hanging="0"/>
        <w:jc w:val="both"/>
        <w:rPr>
          <w:sz w:val="20"/>
        </w:rPr>
      </w:pPr>
      <w:r>
        <w:rPr>
          <w:sz w:val="20"/>
        </w:rPr>
        <w:t>(ii)       in the case of certificated securities which cannot or which the parties have agreed will not be delivered by book-entry, by delivery in appropriate physical form to the recipient or its account accompanied by any duly executed instruments of transfer, transfer tax stamps and any other documents necessary to constitute a legally valid transfer of the transferring party's legal and beneficial title to the recipient; and</w:t>
      </w:r>
    </w:p>
    <w:p>
      <w:pPr>
        <w:pStyle w:val="TextBody"/>
        <w:bidi w:val="0"/>
        <w:spacing w:before="0" w:after="0"/>
        <w:ind w:left="0" w:right="0" w:hanging="0"/>
        <w:jc w:val="both"/>
        <w:rPr/>
      </w:pPr>
      <w:r>
        <w:rPr/>
        <w:t> </w:t>
      </w:r>
    </w:p>
    <w:p>
      <w:pPr>
        <w:pStyle w:val="TextBody"/>
        <w:bidi w:val="0"/>
        <w:spacing w:before="0" w:after="0"/>
        <w:ind w:left="880" w:right="0" w:hanging="0"/>
        <w:jc w:val="both"/>
        <w:rPr>
          <w:sz w:val="20"/>
        </w:rPr>
      </w:pPr>
      <w:r>
        <w:rPr>
          <w:sz w:val="20"/>
        </w:rPr>
        <w:t>(iii)       in the case of securities which the parties have agreed will be delivered by book-entry, by the giving of written instructions (including, for the avoidance of doubt, instructions given by telex, facsimile transmission or electronic messaging system) to the relevant depository institution or other entity specified by the recipient, together with a written copy of the instructions to the recipient, sufficient, if complied with, to result in a legally effective transfer of the transferring party's legal and beneficial title to the recipient.</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sz w:val="20"/>
        </w:rPr>
        <w:t>Subject to Paragraph 4 and unless otherwise specified, if a demand for the transfer of Eligible Credit Support or Equivalent Credit Support is received by the Notification Time, then the relevant transfer will be made not later than the close of business on the Settlement Day relating to the date such demand is received; if a demand is received after the Notification Time, then the relevant transfer will be made not later than the close of business on the Settlement Day relating to the day after the date such demand is received.</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sz w:val="20"/>
        </w:rPr>
        <w:t xml:space="preserve">(b)              </w:t>
      </w:r>
      <w:r>
        <w:rPr>
          <w:b/>
          <w:i/>
          <w:sz w:val="20"/>
        </w:rPr>
        <w:t xml:space="preserve">Calculations. </w:t>
      </w:r>
      <w:r>
        <w:rPr>
          <w:sz w:val="20"/>
        </w:rPr>
        <w:t>All calculations of Value and Exposure for purposes of Paragraphs 2 and 4(a) will be made by the relevant Valuation Agent as of the relevant Valuation Time. The Valuation Agent will notify each party (or the other party, if the Valuation Agent is a party) of its calculations not later than the Notification Time on the Local Business Day following the applicable Valuation Date (or, in the case of Paragraph 4(a), following the date of calculation).</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68"/>
        <w:gridCol w:w="1945"/>
        <w:gridCol w:w="7992"/>
      </w:tblGrid>
      <w:tr>
        <w:trPr/>
        <w:tc>
          <w:tcPr>
            <w:tcW w:w="268"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both"/>
              <w:rPr>
                <w:b w:val="false"/>
                <w:i w:val="false"/>
                <w:caps w:val="false"/>
                <w:smallCaps w:val="false"/>
              </w:rPr>
            </w:pPr>
            <w:r>
              <w:rPr>
                <w:b w:val="false"/>
                <w:i w:val="false"/>
                <w:caps w:val="false"/>
                <w:smallCaps w:val="false"/>
              </w:rPr>
              <w:t>(c)</w:t>
            </w:r>
          </w:p>
        </w:tc>
        <w:tc>
          <w:tcPr>
            <w:tcW w:w="7992" w:type="dxa"/>
            <w:tcBorders/>
            <w:vAlign w:val="center"/>
          </w:tcPr>
          <w:p>
            <w:pPr>
              <w:pStyle w:val="TableContents"/>
              <w:bidi w:val="0"/>
              <w:spacing w:before="0" w:after="283"/>
              <w:jc w:val="both"/>
              <w:rPr/>
            </w:pPr>
            <w:r>
              <w:rPr/>
              <w:t>Exchanges.</w:t>
            </w:r>
          </w:p>
        </w:tc>
      </w:tr>
    </w:tbl>
    <w:p>
      <w:pPr>
        <w:pStyle w:val="TextBody"/>
        <w:bidi w:val="0"/>
        <w:spacing w:before="0" w:after="0"/>
        <w:ind w:left="0" w:right="0" w:hanging="0"/>
        <w:jc w:val="both"/>
        <w:rPr/>
      </w:pPr>
      <w:r>
        <w:rPr/>
        <w:t> </w:t>
      </w:r>
    </w:p>
    <w:p>
      <w:pPr>
        <w:pStyle w:val="TextBody"/>
        <w:bidi w:val="0"/>
        <w:spacing w:before="0" w:after="0"/>
        <w:ind w:left="880" w:right="0" w:hanging="0"/>
        <w:jc w:val="both"/>
        <w:rPr>
          <w:sz w:val="20"/>
        </w:rPr>
      </w:pPr>
      <w:r>
        <w:rPr>
          <w:sz w:val="20"/>
        </w:rPr>
        <w:t>(i)       Unless otherwise specified in Paragraph 11, the Transferor may on any Local Business Day by notice inform the Transferee that it wishes to transfer to the Transferee Eligible Credit Support specified in that notice (the "New Credit Support") in exchange for certain Eligible Credit Support (the "Original Credit Support") specified in that notice comprised in the Transferor's</w:t>
      </w:r>
    </w:p>
    <w:p>
      <w:pPr>
        <w:pStyle w:val="TextBody"/>
        <w:bidi w:val="0"/>
        <w:spacing w:before="0" w:after="0"/>
        <w:ind w:left="880" w:right="0" w:hanging="0"/>
        <w:jc w:val="both"/>
        <w:rPr>
          <w:sz w:val="20"/>
        </w:rPr>
      </w:pPr>
      <w:r>
        <w:rPr>
          <w:sz w:val="20"/>
        </w:rPr>
        <w:t>Credit Support Balance.</w:t>
      </w:r>
    </w:p>
    <w:p>
      <w:pPr>
        <w:pStyle w:val="TextBody"/>
        <w:bidi w:val="0"/>
        <w:spacing w:before="0" w:after="0"/>
        <w:ind w:left="0" w:right="0" w:hanging="0"/>
        <w:jc w:val="both"/>
        <w:rPr/>
      </w:pPr>
      <w:r>
        <w:rPr/>
        <w:t> </w:t>
      </w:r>
    </w:p>
    <w:p>
      <w:pPr>
        <w:pStyle w:val="TextBody"/>
        <w:bidi w:val="0"/>
        <w:spacing w:before="0" w:after="0"/>
        <w:ind w:left="880" w:right="0" w:hanging="0"/>
        <w:jc w:val="both"/>
        <w:rPr>
          <w:sz w:val="20"/>
        </w:rPr>
      </w:pPr>
      <w:r>
        <w:rPr>
          <w:sz w:val="20"/>
        </w:rPr>
        <w:t xml:space="preserve">(ii)       If the Transferee notifies the Transferor that it has consented to the proposed exchange, (A) the Transferor will be obliged to transfer the New Credit Support to the Transferee on the first Settlement Day following the date on which it receives notice (which may be oral telephonic notice) from the Transferee of its consent and (B) the Transferee will be obliged to transfer to the Transferor Equivalent Credit Support in respect of the Original Credit Support not later than the Settlement Day following the date on which the Transferee receives the New Credit Support, unless otherwise specified in Paragraph 11(d) (the "Exchange Date"); </w:t>
      </w:r>
      <w:r>
        <w:rPr>
          <w:i/>
          <w:sz w:val="20"/>
        </w:rPr>
        <w:t xml:space="preserve">provided </w:t>
      </w:r>
      <w:r>
        <w:rPr>
          <w:sz w:val="20"/>
        </w:rPr>
        <w:t>that the Transferee will only be obliged to transfer Equivalent Credit Support with a Value as of the date of transfer as close as practicable to, but in any event not more than, the Value of the New Credit Support as of that date.</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60" w:right="0" w:firstLine="160"/>
        <w:jc w:val="both"/>
        <w:rPr>
          <w:b/>
          <w:sz w:val="20"/>
        </w:rPr>
      </w:pPr>
      <w:r>
        <w:rPr>
          <w:b/>
          <w:sz w:val="20"/>
        </w:rPr>
        <w:t>Paragraph 4. Dispute Resolution</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sz w:val="20"/>
        </w:rPr>
        <w:t xml:space="preserve">(a)              </w:t>
      </w:r>
      <w:r>
        <w:rPr>
          <w:b/>
          <w:i/>
          <w:sz w:val="20"/>
        </w:rPr>
        <w:t>Disputed Calculations or Valuations</w:t>
      </w:r>
      <w:r>
        <w:rPr>
          <w:sz w:val="20"/>
        </w:rPr>
        <w:t>. If a party (a "Disputing Party") reasonably disputes (I) the Valuation Agent’s calculation of a Delivery Amount or a Return Amount or (II) the Value of any transfer of Eligible Credit Support or Equivalent Credit Support, then:</w:t>
      </w:r>
    </w:p>
    <w:p>
      <w:pPr>
        <w:pStyle w:val="TextBody"/>
        <w:bidi w:val="0"/>
        <w:spacing w:before="0" w:after="0"/>
        <w:ind w:left="0" w:right="0" w:hanging="0"/>
        <w:jc w:val="both"/>
        <w:rPr/>
      </w:pPr>
      <w:r>
        <w:rPr/>
        <w:t> </w:t>
      </w:r>
    </w:p>
    <w:p>
      <w:pPr>
        <w:pStyle w:val="TextBody"/>
        <w:bidi w:val="0"/>
        <w:spacing w:before="0" w:after="0"/>
        <w:ind w:left="880" w:right="0" w:hanging="0"/>
        <w:jc w:val="both"/>
        <w:rPr>
          <w:sz w:val="20"/>
        </w:rPr>
      </w:pPr>
      <w:r>
        <w:rPr>
          <w:sz w:val="20"/>
        </w:rPr>
        <w:t>(1) the Disputing Party will notify the other party and the Valuation Agent (if the Valuation Agent is not the other party) not later than the close of business on the Local Business Day following, in the case of (I) above, the date that the demand is received under Paragraph 2 or, in the case of (II) above, the date of transfer;</w:t>
      </w:r>
    </w:p>
    <w:p>
      <w:pPr>
        <w:pStyle w:val="TextBody"/>
        <w:bidi w:val="0"/>
        <w:spacing w:before="0" w:after="0"/>
        <w:ind w:left="0" w:right="0" w:hanging="0"/>
        <w:jc w:val="both"/>
        <w:rPr/>
      </w:pPr>
      <w:r>
        <w:rPr/>
        <w:t> </w:t>
      </w:r>
    </w:p>
    <w:p>
      <w:pPr>
        <w:pStyle w:val="TextBody"/>
        <w:bidi w:val="0"/>
        <w:spacing w:before="0" w:after="0"/>
        <w:ind w:left="880" w:right="0" w:hanging="0"/>
        <w:jc w:val="both"/>
        <w:rPr>
          <w:sz w:val="20"/>
        </w:rPr>
      </w:pPr>
      <w:r>
        <w:rPr>
          <w:sz w:val="20"/>
        </w:rPr>
        <w:t>(2) in the case of (I) above, the appropriate party will transfer the undisputed amount to the other party not later than the close of business on the Settlement Day following the date that the demand is received under Paragraph 2;</w:t>
      </w:r>
    </w:p>
    <w:p>
      <w:pPr>
        <w:pStyle w:val="TextBody"/>
        <w:bidi w:val="0"/>
        <w:spacing w:before="0" w:after="0"/>
        <w:ind w:left="0" w:right="0" w:hanging="0"/>
        <w:jc w:val="both"/>
        <w:rPr/>
      </w:pPr>
      <w:r>
        <w:rPr/>
        <w:t> </w:t>
      </w:r>
    </w:p>
    <w:p>
      <w:pPr>
        <w:pStyle w:val="TextBody"/>
        <w:bidi w:val="0"/>
        <w:spacing w:before="0" w:after="0"/>
        <w:ind w:left="880" w:right="1028" w:hanging="0"/>
        <w:jc w:val="both"/>
        <w:rPr>
          <w:sz w:val="20"/>
        </w:rPr>
      </w:pPr>
      <w:r>
        <w:rPr>
          <w:sz w:val="20"/>
        </w:rPr>
        <w:t>(3) the parties will consult with each other in an attempt to resolve the dispute; and</w:t>
      </w:r>
    </w:p>
    <w:p>
      <w:pPr>
        <w:pStyle w:val="TextBody"/>
        <w:bidi w:val="0"/>
        <w:spacing w:before="0" w:after="0"/>
        <w:ind w:left="0" w:right="0" w:hanging="0"/>
        <w:jc w:val="both"/>
        <w:rPr/>
      </w:pPr>
      <w:r>
        <w:rPr/>
        <w:t> </w:t>
      </w:r>
    </w:p>
    <w:p>
      <w:pPr>
        <w:pStyle w:val="TextBody"/>
        <w:bidi w:val="0"/>
        <w:spacing w:before="0" w:after="0"/>
        <w:ind w:left="880" w:right="1028" w:hanging="0"/>
        <w:jc w:val="both"/>
        <w:rPr>
          <w:sz w:val="20"/>
        </w:rPr>
      </w:pPr>
      <w:r>
        <w:rPr>
          <w:sz w:val="20"/>
        </w:rPr>
        <w:t>(4) if they fail to resolve the dispute by the Resolution Time, then:</w:t>
      </w:r>
    </w:p>
    <w:p>
      <w:pPr>
        <w:pStyle w:val="TextBody"/>
        <w:bidi w:val="0"/>
        <w:spacing w:before="0" w:after="0"/>
        <w:ind w:left="0" w:right="0" w:hanging="0"/>
        <w:jc w:val="both"/>
        <w:rPr/>
      </w:pPr>
      <w:r>
        <w:rPr/>
        <w:t> </w:t>
      </w:r>
    </w:p>
    <w:p>
      <w:pPr>
        <w:pStyle w:val="TextBody"/>
        <w:bidi w:val="0"/>
        <w:spacing w:before="0" w:after="0"/>
        <w:ind w:left="1509" w:right="0" w:hanging="0"/>
        <w:jc w:val="both"/>
        <w:rPr>
          <w:sz w:val="20"/>
        </w:rPr>
      </w:pPr>
      <w:r>
        <w:rPr>
          <w:sz w:val="20"/>
        </w:rPr>
        <w:t>(i)               in the case of a dispute involving a Delivery Amount or Return Amount, unless otherwise specified in Paragraph 11(e), the Valuation Agent will recalculate the Exposure and the Value as of the Recalculation Date by:</w:t>
      </w:r>
    </w:p>
    <w:p>
      <w:pPr>
        <w:pStyle w:val="TextBody"/>
        <w:bidi w:val="0"/>
        <w:spacing w:before="0" w:after="0"/>
        <w:ind w:left="0" w:right="0" w:hanging="0"/>
        <w:jc w:val="both"/>
        <w:rPr/>
      </w:pPr>
      <w:r>
        <w:rPr/>
        <w:t> </w:t>
      </w:r>
    </w:p>
    <w:p>
      <w:pPr>
        <w:pStyle w:val="TextBody"/>
        <w:bidi w:val="0"/>
        <w:spacing w:before="0" w:after="0"/>
        <w:ind w:left="2229" w:right="0" w:hanging="0"/>
        <w:jc w:val="both"/>
        <w:rPr>
          <w:sz w:val="20"/>
        </w:rPr>
      </w:pPr>
      <w:r>
        <w:rPr>
          <w:sz w:val="20"/>
        </w:rPr>
        <w:t>(A)            utilising any calculations of that part of the Exposure attributable to the Transactions that the parties have agreed are not in dispute;</w:t>
      </w:r>
    </w:p>
    <w:p>
      <w:pPr>
        <w:pStyle w:val="TextBody"/>
        <w:bidi w:val="0"/>
        <w:spacing w:before="0" w:after="0"/>
        <w:ind w:left="0" w:right="0" w:hanging="0"/>
        <w:jc w:val="both"/>
        <w:rPr/>
      </w:pPr>
      <w:r>
        <w:rPr/>
        <w:t> </w:t>
      </w:r>
    </w:p>
    <w:p>
      <w:pPr>
        <w:pStyle w:val="TextBody"/>
        <w:bidi w:val="0"/>
        <w:spacing w:before="0" w:after="0"/>
        <w:ind w:left="2229" w:right="0" w:hanging="0"/>
        <w:jc w:val="both"/>
        <w:rPr>
          <w:sz w:val="20"/>
        </w:rPr>
      </w:pPr>
      <w:r>
        <w:rPr>
          <w:sz w:val="20"/>
        </w:rPr>
        <w:t>(B)             calculating that part of the Exposure attributable to the Transactions in dispute by seeking four actual quotations at mid-market from Reference Market- makers for purposes of calculating Market Quotation, and taking the arithmetic average of those obtained;</w:t>
        <w:tab/>
      </w:r>
      <w:r>
        <w:rPr>
          <w:i/>
          <w:sz w:val="20"/>
        </w:rPr>
        <w:t xml:space="preserve">provided </w:t>
      </w:r>
      <w:r>
        <w:rPr>
          <w:sz w:val="20"/>
        </w:rPr>
        <w:t>that if four quotations are not available for a particular Transaction, then fewer than four quotations may be used for that Transaction, and if no quotations are available for a particular Transaction, then the Valuation Agent’s original calculations will be used for the Transaction; and</w:t>
      </w:r>
    </w:p>
    <w:p>
      <w:pPr>
        <w:pStyle w:val="TextBody"/>
        <w:bidi w:val="0"/>
        <w:spacing w:before="0" w:after="0"/>
        <w:ind w:left="0" w:right="0" w:hanging="0"/>
        <w:jc w:val="both"/>
        <w:rPr/>
      </w:pPr>
      <w:r>
        <w:rPr/>
        <w:t> </w:t>
      </w:r>
    </w:p>
    <w:p>
      <w:pPr>
        <w:pStyle w:val="TextBody"/>
        <w:bidi w:val="0"/>
        <w:spacing w:before="0" w:after="0"/>
        <w:ind w:left="2230" w:right="0" w:hanging="0"/>
        <w:jc w:val="both"/>
        <w:rPr>
          <w:sz w:val="20"/>
        </w:rPr>
      </w:pPr>
      <w:r>
        <w:rPr>
          <w:sz w:val="20"/>
        </w:rPr>
        <w:t>(C)             utilising the procedures specified in Paragraph 11(e)(ii) for calculating the Value, if disputed, of the outstanding Credit Support Balance;</w:t>
      </w:r>
    </w:p>
    <w:p>
      <w:pPr>
        <w:pStyle w:val="TextBody"/>
        <w:bidi w:val="0"/>
        <w:spacing w:before="0" w:after="0"/>
        <w:ind w:left="0" w:right="0" w:hanging="0"/>
        <w:jc w:val="both"/>
        <w:rPr/>
      </w:pPr>
      <w:r>
        <w:rPr/>
        <w:t> </w:t>
      </w:r>
    </w:p>
    <w:p>
      <w:pPr>
        <w:pStyle w:val="TextBody"/>
        <w:bidi w:val="0"/>
        <w:spacing w:before="0" w:after="0"/>
        <w:ind w:left="1509" w:right="0" w:hanging="0"/>
        <w:jc w:val="both"/>
        <w:rPr>
          <w:sz w:val="20"/>
        </w:rPr>
      </w:pPr>
      <w:r>
        <w:rPr>
          <w:sz w:val="20"/>
        </w:rPr>
        <w:t>(ii)               in the case of a dispute involving the Value of any transfer of Eligible Credit Support or Equivalent Credit Support, the Valuation Agent will recalculate the Value as of the date of transfer pursuant to Paragraph 11(e)(ii).</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sz w:val="20"/>
        </w:rPr>
        <w:t>Following a recalculation pursuant to this Paragraph, the Valuation Agent will notify each party (or the other party, if the Valuation Agent is a party) as soon as possible but in any event not later than the Notification Time on the Local Business Day following the Resolution Time. The appropriate party will, upon demand following such notice given by the Valuation Agent or a resolution pursuant to (3) above and subject to Paragraph 3(a), make the appropriate transfer.</w:t>
      </w:r>
    </w:p>
    <w:p>
      <w:pPr>
        <w:pStyle w:val="TextBody"/>
        <w:bidi w:val="0"/>
        <w:spacing w:before="0" w:after="0"/>
        <w:ind w:left="160" w:right="596"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60" w:right="0" w:hanging="0"/>
        <w:jc w:val="both"/>
        <w:rPr>
          <w:sz w:val="20"/>
        </w:rPr>
      </w:pPr>
      <w:r>
        <w:rPr>
          <w:sz w:val="20"/>
        </w:rPr>
        <w:t xml:space="preserve">(b)                </w:t>
      </w:r>
      <w:r>
        <w:rPr>
          <w:b/>
          <w:i/>
          <w:sz w:val="20"/>
        </w:rPr>
        <w:t xml:space="preserve">No Event of Default. </w:t>
      </w:r>
      <w:r>
        <w:rPr>
          <w:sz w:val="20"/>
        </w:rPr>
        <w:t>The failure by a party to make a transfer of any amount which is the subject of a dispute to which Paragraph 4(a) applies will not constitute an Event of Default for as long as the procedures set out in this Paragraph 4 are being carried out. For the avoidance of doubt, upon completion of those procedures, Section 5(a)(i) of this Agreement will apply to any failure by a party to make</w:t>
        <w:tab/>
        <w:t>a transfer required under the final sentence of Paragraph 4(a) on the relevant due date.</w:t>
      </w:r>
    </w:p>
    <w:p>
      <w:pPr>
        <w:pStyle w:val="TextBody"/>
        <w:bidi w:val="0"/>
        <w:spacing w:before="0" w:after="0"/>
        <w:ind w:left="0" w:right="0" w:hanging="0"/>
        <w:jc w:val="both"/>
        <w:rPr/>
      </w:pPr>
      <w:r>
        <w:rPr/>
        <w:t> </w:t>
      </w:r>
    </w:p>
    <w:p>
      <w:pPr>
        <w:pStyle w:val="TextBody"/>
        <w:bidi w:val="0"/>
        <w:spacing w:before="0" w:after="0"/>
        <w:ind w:left="160" w:right="0" w:firstLine="160"/>
        <w:jc w:val="both"/>
        <w:rPr>
          <w:b/>
          <w:sz w:val="20"/>
        </w:rPr>
      </w:pPr>
      <w:r>
        <w:rPr>
          <w:b/>
          <w:sz w:val="20"/>
        </w:rPr>
        <w:t>Paragraph 5. Transfer of Title, No Security Interest, Distributions and Interest Amount</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sz w:val="20"/>
        </w:rPr>
        <w:t xml:space="preserve">(a)                  </w:t>
      </w:r>
      <w:r>
        <w:rPr>
          <w:b/>
          <w:i/>
          <w:sz w:val="20"/>
        </w:rPr>
        <w:t xml:space="preserve">Transfer of Title. </w:t>
      </w:r>
      <w:r>
        <w:rPr>
          <w:sz w:val="20"/>
        </w:rPr>
        <w:t>Each party agrees that all right, title and interest in and to any Eligible Credit Support, Equivalent Credit Support, Equivalent Distributions or Interest Amount which it transfers to the other party under the terms of this Annex shall vest in the recipient free and clear of any liens, claims, charges or encumbrances or any other interest of the transferring party or of any third person (other than</w:t>
        <w:tab/>
        <w:t>a lien routinely imposed on all securities in a relevant clearance system).</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sz w:val="20"/>
        </w:rPr>
        <w:t xml:space="preserve">(b)                </w:t>
      </w:r>
      <w:r>
        <w:rPr>
          <w:b/>
          <w:i/>
          <w:sz w:val="20"/>
        </w:rPr>
        <w:t xml:space="preserve">No Security Interest. </w:t>
      </w:r>
      <w:r>
        <w:rPr>
          <w:sz w:val="20"/>
        </w:rPr>
        <w:t>Nothing in this Annex is intended to create or does create in favour of either party any mortgage, charge, lien, pledge, encumbrance or other security interest in any cash or other property transferred by one party to the other party under the terms of this Annex.</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07"/>
        <w:gridCol w:w="775"/>
        <w:gridCol w:w="9323"/>
      </w:tblGrid>
      <w:tr>
        <w:trPr/>
        <w:tc>
          <w:tcPr>
            <w:tcW w:w="10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both"/>
              <w:rPr>
                <w:b w:val="false"/>
                <w:i w:val="false"/>
                <w:caps w:val="false"/>
                <w:smallCaps w:val="false"/>
              </w:rPr>
            </w:pPr>
            <w:r>
              <w:rPr>
                <w:b w:val="false"/>
                <w:i w:val="false"/>
                <w:caps w:val="false"/>
                <w:smallCaps w:val="false"/>
              </w:rPr>
              <w:t>(c)</w:t>
            </w:r>
          </w:p>
        </w:tc>
        <w:tc>
          <w:tcPr>
            <w:tcW w:w="9323" w:type="dxa"/>
            <w:tcBorders/>
            <w:vAlign w:val="center"/>
          </w:tcPr>
          <w:p>
            <w:pPr>
              <w:pStyle w:val="TableContents"/>
              <w:bidi w:val="0"/>
              <w:spacing w:before="0" w:after="283"/>
              <w:jc w:val="both"/>
              <w:rPr/>
            </w:pPr>
            <w:r>
              <w:rPr/>
              <w:t>Distributions and Interest Amount.</w:t>
            </w:r>
          </w:p>
        </w:tc>
      </w:tr>
    </w:tbl>
    <w:p>
      <w:pPr>
        <w:pStyle w:val="TextBody"/>
        <w:bidi w:val="0"/>
        <w:spacing w:before="0" w:after="0"/>
        <w:ind w:left="0" w:right="0" w:hanging="0"/>
        <w:jc w:val="both"/>
        <w:rPr/>
      </w:pPr>
      <w:r>
        <w:rPr/>
        <w:t> </w:t>
      </w:r>
    </w:p>
    <w:p>
      <w:pPr>
        <w:pStyle w:val="TextBody"/>
        <w:bidi w:val="0"/>
        <w:spacing w:before="0" w:after="0"/>
        <w:ind w:left="880" w:right="0" w:hanging="0"/>
        <w:jc w:val="both"/>
        <w:rPr>
          <w:sz w:val="20"/>
        </w:rPr>
      </w:pPr>
      <w:r>
        <w:rPr>
          <w:sz w:val="20"/>
        </w:rPr>
        <w:t xml:space="preserve">(i)             </w:t>
      </w:r>
      <w:r>
        <w:rPr>
          <w:b/>
          <w:i/>
          <w:sz w:val="20"/>
        </w:rPr>
        <w:t xml:space="preserve">Distributions. </w:t>
      </w:r>
      <w:r>
        <w:rPr>
          <w:sz w:val="20"/>
        </w:rPr>
        <w:t>The Transferee will transfer to the Transferor not later than the Settlement Day following each Distributions Date cash, securities or other property of the same type, nominal value, description and amount as the relevant Distributions ("Equivalent Distributions") to the extent that a Delivery Amount would not be created or increased by the transfer, as calculated by the Valuation Agent (and the date of calculation will be deemed a Valuation Date for this purpose).</w:t>
      </w:r>
    </w:p>
    <w:p>
      <w:pPr>
        <w:pStyle w:val="TextBody"/>
        <w:bidi w:val="0"/>
        <w:spacing w:before="0" w:after="0"/>
        <w:ind w:left="0" w:right="0" w:hanging="0"/>
        <w:jc w:val="both"/>
        <w:rPr/>
      </w:pPr>
      <w:r>
        <w:rPr/>
        <w:t> </w:t>
      </w:r>
    </w:p>
    <w:p>
      <w:pPr>
        <w:pStyle w:val="TextBody"/>
        <w:bidi w:val="0"/>
        <w:spacing w:before="0" w:after="0"/>
        <w:ind w:left="880" w:right="0" w:hanging="0"/>
        <w:jc w:val="both"/>
        <w:rPr>
          <w:sz w:val="20"/>
        </w:rPr>
      </w:pPr>
      <w:r>
        <w:rPr>
          <w:sz w:val="20"/>
        </w:rPr>
        <w:t xml:space="preserve">(ii)             </w:t>
      </w:r>
      <w:r>
        <w:rPr>
          <w:b/>
          <w:i/>
          <w:sz w:val="20"/>
        </w:rPr>
        <w:t xml:space="preserve">Interest Amount. </w:t>
      </w:r>
      <w:r>
        <w:rPr>
          <w:sz w:val="20"/>
        </w:rPr>
        <w:t>Unless otherwise specified in Paragraph 11(f)(iii), the Transferee will transfer to the Transferor at the times specified in Paragraph 11(f)(ii) the relevant Interest Amount to the extent that a Delivery Amount would not be created or increased by the transfer, as calculated by the Valuation Agent (and the date of calculation will be deemed a Valuation Date for this purpose).</w:t>
      </w:r>
    </w:p>
    <w:p>
      <w:pPr>
        <w:pStyle w:val="TextBody"/>
        <w:bidi w:val="0"/>
        <w:spacing w:before="0" w:after="0"/>
        <w:ind w:left="0" w:right="0" w:hanging="0"/>
        <w:jc w:val="both"/>
        <w:rPr/>
      </w:pPr>
      <w:r>
        <w:rPr/>
        <w:t> </w:t>
      </w:r>
    </w:p>
    <w:p>
      <w:pPr>
        <w:pStyle w:val="TextBody"/>
        <w:bidi w:val="0"/>
        <w:spacing w:before="0" w:after="0"/>
        <w:ind w:left="160" w:right="0" w:firstLine="160"/>
        <w:jc w:val="both"/>
        <w:rPr>
          <w:b/>
          <w:sz w:val="20"/>
        </w:rPr>
      </w:pPr>
      <w:r>
        <w:rPr>
          <w:b/>
          <w:sz w:val="20"/>
        </w:rPr>
        <w:t>Paragraph 6. Default</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sz w:val="20"/>
        </w:rPr>
        <w:t>If an Early Termination Date is designated or deemed to occur as a result of an Event of Default in relation to a party, an amount equal to the Value of the Credit Support Balance, determined as though the Early Termination Date were a Valuation Date, will be deemed to be an Unpaid Amount due to the Transferor (which may or may not be the Defaulting Party) for purposes of</w:t>
        <w:tab/>
        <w:t xml:space="preserve"> Section 6(e) . For the avoidance of doubt, if Market Quotation is the applicable payment measure for purposes of</w:t>
        <w:tab/>
        <w:t>Section 6(e), then the Market Quotation determined under Section 6(e) in relation to the Transaction constituted by this Annex will be deemed to be zero, and, if Loss is the applicable payment measure for purposes of Section 6(e), then the Loss determined under Section 6(e) in relation to the Transaction will be limited to the Unpaid Amount representing the Value of the Credit Support Balance.</w:t>
      </w:r>
    </w:p>
    <w:p>
      <w:pPr>
        <w:pStyle w:val="TextBody"/>
        <w:bidi w:val="0"/>
        <w:spacing w:before="0" w:after="0"/>
        <w:ind w:left="160" w:right="596"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60" w:right="0" w:firstLine="160"/>
        <w:jc w:val="both"/>
        <w:rPr>
          <w:b/>
          <w:sz w:val="20"/>
        </w:rPr>
      </w:pPr>
      <w:r>
        <w:rPr>
          <w:b/>
          <w:sz w:val="20"/>
        </w:rPr>
        <w:t>Paragraph 7. Representation</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sz w:val="20"/>
        </w:rPr>
        <w:t>Each party represents to the other party (which representation will be deemed to be repeated as of each date on which it transfers Eligible Credit Support, Equivalent Credit Support or Equivalent Distributions) that it is the sole owner of or otherwise has the right to transfer all Eligible Credit Support, Equivalent Credit Support or Equivalent Distributions it transfers to the other party under this Annex, free and clear of any security interest, lien, encumbrance or other restriction (other than a lien routinely imposed on all securities in a relevant clearance system).</w:t>
      </w:r>
    </w:p>
    <w:p>
      <w:pPr>
        <w:pStyle w:val="TextBody"/>
        <w:bidi w:val="0"/>
        <w:spacing w:before="0" w:after="0"/>
        <w:ind w:left="0" w:right="0" w:hanging="0"/>
        <w:jc w:val="both"/>
        <w:rPr/>
      </w:pPr>
      <w:r>
        <w:rPr/>
        <w:t> </w:t>
      </w:r>
    </w:p>
    <w:p>
      <w:pPr>
        <w:pStyle w:val="TextBody"/>
        <w:bidi w:val="0"/>
        <w:spacing w:before="0" w:after="0"/>
        <w:ind w:left="160" w:right="0" w:firstLine="160"/>
        <w:jc w:val="both"/>
        <w:rPr>
          <w:b/>
          <w:sz w:val="20"/>
        </w:rPr>
      </w:pPr>
      <w:r>
        <w:rPr>
          <w:b/>
          <w:sz w:val="20"/>
        </w:rPr>
        <w:t>Paragraph 8. Expenses</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sz w:val="20"/>
        </w:rPr>
        <w:t>Each party will pay its own costs and expenses (including any stamp, transfer or similar transaction tax or duty payable on any transfer it is required to make under this Annex) in connection with performing its obligations under this Annex, and neither party will be liable for any such costs and expenses incurred by the other party.</w:t>
      </w:r>
    </w:p>
    <w:p>
      <w:pPr>
        <w:pStyle w:val="TextBody"/>
        <w:bidi w:val="0"/>
        <w:spacing w:before="0" w:after="0"/>
        <w:ind w:left="0" w:right="0" w:hanging="0"/>
        <w:jc w:val="both"/>
        <w:rPr/>
      </w:pPr>
      <w:r>
        <w:rPr/>
        <w:t> </w:t>
      </w:r>
    </w:p>
    <w:p>
      <w:pPr>
        <w:pStyle w:val="TextBody"/>
        <w:bidi w:val="0"/>
        <w:spacing w:before="0" w:after="0"/>
        <w:ind w:left="160" w:right="0" w:firstLine="160"/>
        <w:jc w:val="both"/>
        <w:rPr>
          <w:b/>
          <w:sz w:val="20"/>
        </w:rPr>
      </w:pPr>
      <w:r>
        <w:rPr>
          <w:b/>
          <w:sz w:val="20"/>
        </w:rPr>
        <w:t>Paragraph 9. Miscellaneous</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sz w:val="20"/>
        </w:rPr>
        <w:t xml:space="preserve">(a)              </w:t>
      </w:r>
      <w:r>
        <w:rPr>
          <w:b/>
          <w:i/>
          <w:sz w:val="20"/>
        </w:rPr>
        <w:t>Default Interest.</w:t>
        <w:tab/>
      </w:r>
      <w:r>
        <w:rPr>
          <w:sz w:val="20"/>
        </w:rPr>
        <w:t>Other than in the case of an amount which is the subject of a dispute under Paragraph 4(a), if a Transferee fails to make, when due, any transfer of Equivalent Credit Support, Equivalent Distributions or the Interest Amount, it will be obliged to pay the Transferor (to the extent permitted under applicable law) an amount equal to interest at the Default Rate multiplied by the Value on the relevant Valuation Date of the items of property that were required to be transferred, from (and including) the date that the Equivalent Credit Support, Equivalent Distributions or Interest Amount were required to be transferred to (but excluding) the date of transfer of the Equivalent Credit Support, Equivalent Distributions or Interest Amount. This interest will be calculated on the basis of daily compounding and the actual number of days elapsed.</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sz w:val="20"/>
        </w:rPr>
        <w:t xml:space="preserve">(b)              </w:t>
      </w:r>
      <w:r>
        <w:rPr>
          <w:b/>
          <w:i/>
          <w:sz w:val="20"/>
        </w:rPr>
        <w:t xml:space="preserve">Good Faith and Commercially Reasonable Manner. </w:t>
      </w:r>
      <w:r>
        <w:rPr>
          <w:sz w:val="20"/>
        </w:rPr>
        <w:t>Performance of all obligations under this Annex, including, but not limited to, all calculations, valuations and determinations made by either party, will be made in good faith and in a commercially reasonable manner.</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sz w:val="20"/>
        </w:rPr>
        <w:t xml:space="preserve">(c)              </w:t>
      </w:r>
      <w:r>
        <w:rPr>
          <w:b/>
          <w:i/>
          <w:sz w:val="20"/>
        </w:rPr>
        <w:t xml:space="preserve">Demands and Notices. </w:t>
      </w:r>
      <w:r>
        <w:rPr>
          <w:sz w:val="20"/>
        </w:rPr>
        <w:t>All demands and notices given by a party under this Annex will be given as specified in Section 12 of this Agreement.</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sz w:val="20"/>
        </w:rPr>
        <w:t xml:space="preserve">(d)              </w:t>
      </w:r>
      <w:r>
        <w:rPr>
          <w:b/>
          <w:i/>
          <w:sz w:val="20"/>
        </w:rPr>
        <w:t xml:space="preserve">Specifications of Certain Matters. </w:t>
      </w:r>
      <w:r>
        <w:rPr>
          <w:sz w:val="20"/>
        </w:rPr>
        <w:t>Anything referred to in this Annex as being specified in Paragraph 11 also may be specified in one or more Confirmations or other documents and this Annex will be construed accordingly.</w:t>
      </w:r>
    </w:p>
    <w:p>
      <w:pPr>
        <w:pStyle w:val="TextBody"/>
        <w:bidi w:val="0"/>
        <w:spacing w:before="0" w:after="0"/>
        <w:ind w:left="0" w:right="0" w:hanging="0"/>
        <w:jc w:val="both"/>
        <w:rPr/>
      </w:pPr>
      <w:r>
        <w:rPr/>
        <w:t> </w:t>
      </w:r>
    </w:p>
    <w:p>
      <w:pPr>
        <w:pStyle w:val="TextBody"/>
        <w:bidi w:val="0"/>
        <w:spacing w:before="0" w:after="0"/>
        <w:ind w:left="160" w:right="0" w:firstLine="160"/>
        <w:jc w:val="both"/>
        <w:rPr>
          <w:b/>
          <w:sz w:val="20"/>
        </w:rPr>
      </w:pPr>
      <w:r>
        <w:rPr>
          <w:b/>
          <w:sz w:val="20"/>
        </w:rPr>
        <w:t>Paragraph 10. Definitions</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sz w:val="20"/>
        </w:rPr>
        <w:t>As used in this Annex:</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b/>
          <w:i/>
          <w:sz w:val="20"/>
        </w:rPr>
        <w:t xml:space="preserve">"Base Currency" </w:t>
      </w:r>
      <w:r>
        <w:rPr>
          <w:sz w:val="20"/>
        </w:rPr>
        <w:t>means the currency specified as such in Paragraph 11(a)(i).</w:t>
      </w:r>
    </w:p>
    <w:p>
      <w:pPr>
        <w:pStyle w:val="TextBody"/>
        <w:bidi w:val="0"/>
        <w:spacing w:before="0" w:after="0"/>
        <w:ind w:left="16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60" w:right="0" w:hanging="0"/>
        <w:jc w:val="both"/>
        <w:rPr>
          <w:sz w:val="20"/>
        </w:rPr>
      </w:pPr>
      <w:r>
        <w:rPr>
          <w:b/>
          <w:i/>
          <w:sz w:val="20"/>
        </w:rPr>
        <w:t xml:space="preserve">"Base Currency Equivalent" </w:t>
      </w:r>
      <w:r>
        <w:rPr>
          <w:sz w:val="20"/>
        </w:rPr>
        <w:t>means, with respect to an amount on a Valuation Date, in the case of an amount denominated in the Base Currency, such Base Currency amount and, in the case of an amount denominated in a currency other than the Base Currency (the “Other Currency”), the amount of Base Currency required to purchase such amount of the Other Currency at the spot exchange rate determined by the Valuation Agent for value on such Valuation Date.</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b/>
          <w:i/>
          <w:sz w:val="20"/>
        </w:rPr>
        <w:t xml:space="preserve">"Credit Support Amount" </w:t>
      </w:r>
      <w:r>
        <w:rPr>
          <w:sz w:val="20"/>
        </w:rPr>
        <w:t xml:space="preserve">means, with respect to a Transferor on a Valuation Date, (i) the Transferee’s Exposure plus (ii) all Independent Amounts applicable to the Transferor, if any, minus (iii) all Independent Amounts applicable to the Transferee, if any, minus (iv) the Transferor's Threshold; </w:t>
      </w:r>
      <w:r>
        <w:rPr>
          <w:i/>
          <w:sz w:val="20"/>
        </w:rPr>
        <w:t xml:space="preserve">provided, however, </w:t>
      </w:r>
      <w:r>
        <w:rPr>
          <w:sz w:val="20"/>
        </w:rPr>
        <w:t>that the Credit Support Amount will be deemed to be zero whenever the calculation of Credit Support Amount yields a number less than zero.</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b/>
          <w:i/>
          <w:sz w:val="20"/>
        </w:rPr>
        <w:t xml:space="preserve">"Credit Support Balance" </w:t>
      </w:r>
      <w:r>
        <w:rPr>
          <w:sz w:val="20"/>
        </w:rPr>
        <w:t>means, with respect to a Transferor on a Valuation Date, the aggregate of all Eligible Credit Support that has been transferred to or received by the Transferee under this Annex, together with any Distributions and all proceeds of any such Eligible Credit Support or Distributions, as reduced pursuant to Paragraph 2(b), 3(c)(ii) or 6. Any Equivalent Distributions or Interest Amount (or portion of either) not transferred pursuant to Paragraph 5(c)(i) or (ii) will form part of the Credit Support Balance.</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"Delivery Amount" </w:t>
      </w:r>
      <w:r>
        <w:rPr>
          <w:sz w:val="20"/>
        </w:rPr>
        <w:t>has the meaning specified in Paragraph 2(a).</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"Disputing Party" </w:t>
      </w:r>
      <w:r>
        <w:rPr>
          <w:sz w:val="20"/>
        </w:rPr>
        <w:t>has the meaning specified in Paragraph 4.</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b/>
          <w:i/>
          <w:sz w:val="20"/>
        </w:rPr>
        <w:t xml:space="preserve">"Distributions" </w:t>
      </w:r>
      <w:r>
        <w:rPr>
          <w:sz w:val="20"/>
        </w:rPr>
        <w:t>means, with respect to any Eligible Credit Support comprised in the Credit Support Balance consisting of securities, all principal, interest and other payments and distributions of cash or other property to which a holder of securities of the same type, nominal value, description and amount as such Eligible Credit Support would be entitled from time to time.</w:t>
      </w:r>
    </w:p>
    <w:p>
      <w:pPr>
        <w:pStyle w:val="TextBody"/>
        <w:bidi w:val="0"/>
        <w:spacing w:before="0" w:after="0"/>
        <w:ind w:left="0" w:right="0" w:hanging="0"/>
        <w:jc w:val="both"/>
        <w:rPr/>
      </w:pPr>
      <w:r>
        <w:rPr/>
        <w:t> </w:t>
      </w:r>
    </w:p>
    <w:p>
      <w:pPr>
        <w:pStyle w:val="TextBody"/>
        <w:bidi w:val="0"/>
        <w:spacing w:before="0" w:after="0"/>
        <w:ind w:left="160" w:right="133" w:hanging="0"/>
        <w:jc w:val="both"/>
        <w:rPr>
          <w:sz w:val="20"/>
        </w:rPr>
      </w:pPr>
      <w:r>
        <w:rPr>
          <w:b/>
          <w:i/>
          <w:sz w:val="20"/>
        </w:rPr>
        <w:t xml:space="preserve">"Distributions Date" </w:t>
      </w:r>
      <w:r>
        <w:rPr>
          <w:sz w:val="20"/>
        </w:rPr>
        <w:t>means, with respect to any Eligible Credit Support comprised in the Credit Support Balance other than cash, each date on which a holder of such Eligible Credit Support is entitled to receive Distributions or, if that date is not a Local Business Day, the next following Local Business Day.</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"Eligible Credit Support" </w:t>
      </w:r>
      <w:r>
        <w:rPr>
          <w:sz w:val="20"/>
        </w:rPr>
        <w:t>means, with respect to a party, the items, if any, specified as such for that party in Paragraph 11(b)(ii) including, in relation to any securities, if applicable, the proceeds of any redemption in whole or in part of such securities by the relevant issuer.</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"Eligible Currency" </w:t>
      </w:r>
      <w:r>
        <w:rPr>
          <w:sz w:val="20"/>
        </w:rPr>
        <w:t>means each currency specified as such in Paragraph 11(a)(ii), if such currency is freely available.</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"Equivalent Credit Support" </w:t>
      </w:r>
      <w:r>
        <w:rPr>
          <w:sz w:val="20"/>
        </w:rPr>
        <w:t>means, in relation to any Eligible Credit Support comprised in the Credit Support Balance, Eligible Credit Support of the same type, nominal value, description and amount as that Eligible Credit Support.</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"Equivalent Distributions" </w:t>
      </w:r>
      <w:r>
        <w:rPr>
          <w:sz w:val="20"/>
        </w:rPr>
        <w:t>has the meaning specified in Paragraph 5(c)(i).</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"Exchange Date" </w:t>
      </w:r>
      <w:r>
        <w:rPr>
          <w:sz w:val="20"/>
        </w:rPr>
        <w:t>has the meaning specified in Paragraph 11(d).</w:t>
      </w:r>
    </w:p>
    <w:p>
      <w:pPr>
        <w:pStyle w:val="TextBody"/>
        <w:bidi w:val="0"/>
        <w:spacing w:before="0" w:after="0"/>
        <w:ind w:left="159"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59" w:right="0" w:firstLine="59"/>
        <w:jc w:val="both"/>
        <w:rPr>
          <w:sz w:val="20"/>
        </w:rPr>
      </w:pPr>
      <w:r>
        <w:rPr>
          <w:b/>
          <w:i/>
          <w:sz w:val="20"/>
        </w:rPr>
        <w:t xml:space="preserve">"Exposure" </w:t>
      </w:r>
      <w:r>
        <w:rPr>
          <w:sz w:val="20"/>
        </w:rPr>
        <w:t>means, with respect to a party on a Valuation Date and subject to Paragraph 4 in the case of a dispute, the amount, if any, that would be payable to that party by the other party (expressed as a positive number) or by that party to the other party (expressed as a negative number) pursuant to Section 6(e)(ii)(1) of this Agreement if all Transactions (other than the Transaction constituted by this Annex) were being terminated as of the relevant Valuation Time, on the basis that (i) that party is not the Affected Party and (ii) the Base Currency is the Termination Currency;</w:t>
        <w:tab/>
      </w:r>
      <w:r>
        <w:rPr>
          <w:i/>
          <w:sz w:val="20"/>
        </w:rPr>
        <w:t xml:space="preserve">provided </w:t>
      </w:r>
      <w:r>
        <w:rPr>
          <w:sz w:val="20"/>
        </w:rPr>
        <w:t>that Market Quotations will be determined by the Valuation Agent on behalf of that party using its estimates at mid-market of the amounts that would be paid for Replacement Transactions (as that term is defined in the definition of “Market Quotation”).</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"Independent Amount" </w:t>
      </w:r>
      <w:r>
        <w:rPr>
          <w:sz w:val="20"/>
        </w:rPr>
        <w:t xml:space="preserve">means, with respect to a party, the Base Currency Equivalent of the amount specified as such for that party in Paragraph 11 (b)(iii)(A); if no amount is specified, zero </w:t>
      </w:r>
      <w:r>
        <w:rPr>
          <w:i/>
          <w:sz w:val="20"/>
        </w:rPr>
        <w:t>.</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"Interest Amount" </w:t>
      </w:r>
      <w:r>
        <w:rPr>
          <w:sz w:val="20"/>
        </w:rPr>
        <w:t>means, with respect to an Interest Period, the aggregate sum of the Base Currency Equivalents of the amounts of interest determined for each relevant currency and calculated for each day in that Interest Period on the principal amount of the portion of the Credit Support Balance comprised of cash in such currency, determined by the Valuation Agent for each such day as follows: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1"/>
        <w:gridCol w:w="474"/>
        <w:gridCol w:w="9670"/>
      </w:tblGrid>
      <w:tr>
        <w:trPr/>
        <w:tc>
          <w:tcPr>
            <w:tcW w:w="6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both"/>
              <w:rPr/>
            </w:pPr>
            <w:r>
              <w:rPr/>
              <w:t>(x)</w:t>
            </w:r>
          </w:p>
        </w:tc>
        <w:tc>
          <w:tcPr>
            <w:tcW w:w="9670" w:type="dxa"/>
            <w:tcBorders/>
            <w:vAlign w:val="center"/>
          </w:tcPr>
          <w:p>
            <w:pPr>
              <w:pStyle w:val="TableContents"/>
              <w:bidi w:val="0"/>
              <w:spacing w:before="0" w:after="283"/>
              <w:jc w:val="both"/>
              <w:rPr/>
            </w:pPr>
            <w:r>
              <w:rPr/>
              <w:t>the amount of cash in such currency on that day; multiplied by</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6"/>
        <w:gridCol w:w="511"/>
        <w:gridCol w:w="9628"/>
      </w:tblGrid>
      <w:tr>
        <w:trPr/>
        <w:tc>
          <w:tcPr>
            <w:tcW w:w="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both"/>
              <w:rPr/>
            </w:pPr>
            <w:r>
              <w:rPr/>
              <w:t>(y)</w:t>
            </w:r>
          </w:p>
        </w:tc>
        <w:tc>
          <w:tcPr>
            <w:tcW w:w="9628" w:type="dxa"/>
            <w:tcBorders/>
            <w:vAlign w:val="center"/>
          </w:tcPr>
          <w:p>
            <w:pPr>
              <w:pStyle w:val="TableContents"/>
              <w:bidi w:val="0"/>
              <w:spacing w:before="0" w:after="283"/>
              <w:jc w:val="both"/>
              <w:rPr/>
            </w:pPr>
            <w:r>
              <w:rPr/>
              <w:t>the relevant Interest Rate in effect for that day; divided by</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5"/>
        <w:gridCol w:w="621"/>
        <w:gridCol w:w="9499"/>
      </w:tblGrid>
      <w:tr>
        <w:trPr/>
        <w:tc>
          <w:tcPr>
            <w:tcW w:w="8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both"/>
              <w:rPr/>
            </w:pPr>
            <w:r>
              <w:rPr/>
              <w:t>(z)</w:t>
            </w:r>
          </w:p>
        </w:tc>
        <w:tc>
          <w:tcPr>
            <w:tcW w:w="9499" w:type="dxa"/>
            <w:tcBorders/>
            <w:vAlign w:val="center"/>
          </w:tcPr>
          <w:p>
            <w:pPr>
              <w:pStyle w:val="TableContents"/>
              <w:bidi w:val="0"/>
              <w:spacing w:before="0" w:after="283"/>
              <w:jc w:val="both"/>
              <w:rPr/>
            </w:pPr>
            <w:r>
              <w:rPr/>
              <w:t>360 (or, in the case of pounds sterling, 365).</w:t>
            </w:r>
          </w:p>
        </w:tc>
      </w:tr>
    </w:tbl>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"Interest Period" </w:t>
      </w:r>
      <w:r>
        <w:rPr>
          <w:sz w:val="20"/>
        </w:rPr>
        <w:t>means the period from (and including) the last Local Business Day on which an Interest Amount was transferred (or, if no Interest Amount has yet been transferred, the Local Business Day on which Eligible Credit Support or Equivalent Credit Support in the form of cash was transferred to or received by the Transferee) to (but excluding) the Local Business Day on which the current Interest Amount is transferred.</w:t>
      </w:r>
    </w:p>
    <w:p>
      <w:pPr>
        <w:pStyle w:val="TextBody"/>
        <w:bidi w:val="0"/>
        <w:spacing w:before="0" w:after="0"/>
        <w:ind w:left="0" w:right="0" w:hanging="0"/>
        <w:jc w:val="both"/>
        <w:rPr/>
      </w:pPr>
      <w:r>
        <w:rPr/>
        <w:t> </w:t>
      </w:r>
    </w:p>
    <w:p>
      <w:pPr>
        <w:pStyle w:val="TextBody"/>
        <w:bidi w:val="0"/>
        <w:spacing w:before="0" w:after="0"/>
        <w:ind w:left="160" w:right="102" w:hanging="0"/>
        <w:jc w:val="both"/>
        <w:rPr>
          <w:sz w:val="20"/>
        </w:rPr>
      </w:pPr>
      <w:r>
        <w:rPr>
          <w:b/>
          <w:i/>
          <w:sz w:val="20"/>
        </w:rPr>
        <w:t xml:space="preserve">"Interest Rate" </w:t>
      </w:r>
      <w:r>
        <w:rPr>
          <w:sz w:val="20"/>
        </w:rPr>
        <w:t>means, with respect to an Eligible Currency, the rate specified in Paragraph 11(f)(i) for that currency.</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b/>
          <w:i/>
          <w:sz w:val="20"/>
        </w:rPr>
        <w:t>"Local Business Day"</w:t>
      </w:r>
      <w:r>
        <w:rPr>
          <w:sz w:val="20"/>
        </w:rPr>
        <w:t>, unless otherwise specified in Paragraph 1l(h), means:</w:t>
      </w:r>
    </w:p>
    <w:p>
      <w:pPr>
        <w:pStyle w:val="TextBody"/>
        <w:bidi w:val="0"/>
        <w:spacing w:before="0" w:after="0"/>
        <w:ind w:left="0" w:right="0" w:hanging="0"/>
        <w:jc w:val="both"/>
        <w:rPr/>
      </w:pPr>
      <w:r>
        <w:rPr/>
        <w:t> </w:t>
      </w:r>
    </w:p>
    <w:p>
      <w:pPr>
        <w:pStyle w:val="TextBody"/>
        <w:bidi w:val="0"/>
        <w:spacing w:before="0" w:after="0"/>
        <w:ind w:left="880" w:right="0" w:hanging="0"/>
        <w:jc w:val="both"/>
        <w:rPr>
          <w:sz w:val="20"/>
        </w:rPr>
      </w:pPr>
      <w:r>
        <w:rPr>
          <w:sz w:val="20"/>
        </w:rPr>
        <w:t>(i) in relation to a transfer of cash or other property (other than securities) under this Annex, a day on which commercial banks are open for business (including dealings in foreign exchange and foreign currency deposits) in the place where the relevant account is located and, if different, in the principal financial centre, if any, of the currency of such payment;</w:t>
      </w:r>
    </w:p>
    <w:p>
      <w:pPr>
        <w:pStyle w:val="TextBody"/>
        <w:bidi w:val="0"/>
        <w:spacing w:before="0" w:after="0"/>
        <w:ind w:left="0" w:right="0" w:hanging="0"/>
        <w:jc w:val="both"/>
        <w:rPr/>
      </w:pPr>
      <w:r>
        <w:rPr/>
        <w:t> </w:t>
      </w:r>
    </w:p>
    <w:p>
      <w:pPr>
        <w:pStyle w:val="TextBody"/>
        <w:bidi w:val="0"/>
        <w:spacing w:before="0" w:after="0"/>
        <w:ind w:left="880" w:right="0" w:hanging="0"/>
        <w:jc w:val="both"/>
        <w:rPr>
          <w:sz w:val="20"/>
        </w:rPr>
      </w:pPr>
      <w:r>
        <w:rPr>
          <w:sz w:val="20"/>
        </w:rPr>
        <w:t>(ii) in relation to a transfer of securities under this Annex, a day on which the clearance system agreed between the parties for delivery of the securities is open for the acceptance and execution of settlement instructions or, if delivery of the securities is contemplated by other means, a day on which commercial banks are open for business (including dealings in foreign exchange and foreign currency deposits) in the place(s) agreed between the parties for this purpose;</w:t>
      </w:r>
    </w:p>
    <w:p>
      <w:pPr>
        <w:pStyle w:val="TextBody"/>
        <w:bidi w:val="0"/>
        <w:spacing w:before="0" w:after="0"/>
        <w:ind w:left="880" w:right="494"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80" w:right="0" w:hanging="0"/>
        <w:jc w:val="both"/>
        <w:rPr>
          <w:sz w:val="20"/>
        </w:rPr>
      </w:pPr>
      <w:r>
        <w:rPr>
          <w:sz w:val="20"/>
        </w:rPr>
        <w:t>(iii) in relation to a valuation under this Annex, a day on which commercial banks are open for business (including dealings in foreign exchange and foreign currency deposits) in the place of location of the Valuation Agent and in the place(s) agreed between the parties for this purpose; and</w:t>
      </w:r>
    </w:p>
    <w:p>
      <w:pPr>
        <w:pStyle w:val="TextBody"/>
        <w:bidi w:val="0"/>
        <w:spacing w:before="0" w:after="0"/>
        <w:ind w:left="0" w:right="0" w:hanging="0"/>
        <w:jc w:val="both"/>
        <w:rPr/>
      </w:pPr>
      <w:r>
        <w:rPr/>
        <w:t> </w:t>
      </w:r>
    </w:p>
    <w:p>
      <w:pPr>
        <w:pStyle w:val="TextBody"/>
        <w:bidi w:val="0"/>
        <w:spacing w:before="0" w:after="0"/>
        <w:ind w:left="880" w:right="0" w:hanging="0"/>
        <w:jc w:val="both"/>
        <w:rPr>
          <w:sz w:val="20"/>
        </w:rPr>
      </w:pPr>
      <w:r>
        <w:rPr>
          <w:sz w:val="20"/>
        </w:rPr>
        <w:t>(iv) in relation to any notice or other communication under this Annex, a day on which commercial banks are open for business (including dealings in foreign exchange and foreign currency deposits) in the place specified in the address for notice most recently provided by the recipient.</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"Minimum Transfer Amount" </w:t>
      </w:r>
      <w:r>
        <w:rPr>
          <w:sz w:val="20"/>
        </w:rPr>
        <w:t>means, with respect to a party, the amount specified as such for that party in Paragraph 11(b)(iii)(C); if no amount is specified, zero.</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"New Credit Support" </w:t>
      </w:r>
      <w:r>
        <w:rPr>
          <w:sz w:val="20"/>
        </w:rPr>
        <w:t>has the meaning specified in Paragraph 3(c)(i).</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"Notification Time" </w:t>
      </w:r>
      <w:r>
        <w:rPr>
          <w:sz w:val="20"/>
        </w:rPr>
        <w:t>has the meaning specified in Paragraph 11(c)(iv).</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"Recalculation Date" </w:t>
      </w:r>
      <w:r>
        <w:rPr>
          <w:sz w:val="20"/>
        </w:rPr>
        <w:t xml:space="preserve">means the Valuation Date that gives rise to the dispute under Paragraph 4; </w:t>
      </w:r>
      <w:r>
        <w:rPr>
          <w:i/>
          <w:sz w:val="20"/>
        </w:rPr>
        <w:t xml:space="preserve">provided, however, </w:t>
      </w:r>
      <w:r>
        <w:rPr>
          <w:sz w:val="20"/>
        </w:rPr>
        <w:t>that if a subsequent Valuation Date occurs under Paragraph 2 prior to the resolution of the dispute, then the “</w:t>
      </w:r>
      <w:r>
        <w:rPr>
          <w:b/>
          <w:i/>
          <w:sz w:val="20"/>
        </w:rPr>
        <w:t xml:space="preserve">Recalculation Date” </w:t>
      </w:r>
      <w:r>
        <w:rPr>
          <w:sz w:val="20"/>
        </w:rPr>
        <w:t>means the most recent Valuation Date under Paragraph 2.</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"Resolution Time" </w:t>
      </w:r>
      <w:r>
        <w:rPr>
          <w:sz w:val="20"/>
        </w:rPr>
        <w:t>has the meaning specified in Paragraph 11(e)(i).</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"Return Amount" </w:t>
      </w:r>
      <w:r>
        <w:rPr>
          <w:sz w:val="20"/>
        </w:rPr>
        <w:t>has the meaning specified in Paragraph 2(b).</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"Settlement Day" </w:t>
      </w:r>
      <w:r>
        <w:rPr>
          <w:sz w:val="20"/>
        </w:rPr>
        <w:t>means, in relation to a date, (i) with respect to a transfer of cash or other property (other than securities), the next Local Business Day and (ii) with respect to a transfer of securities, the first Local Business Day after such date on which settlement of a trade in the relevant securities, if effected on such date, would have been settled in accordance with customary practice when settling through the clearance system agreed between the parties for delivery of such securities or, otherwise, on the market in which such securities are principally traded (or, in either case, if there is no such customary practice, on the first Local Business Day after such date on which it is reasonably practicable to deliver such securities).</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"Threshold" </w:t>
      </w:r>
      <w:r>
        <w:rPr>
          <w:sz w:val="20"/>
        </w:rPr>
        <w:t>means, with respect to a party, the Base Currency Equivalent of the amount specified as such for that party in Paragraph 11(b)(iii)(B); if no amount is specified, zero.</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"Transferee" </w:t>
      </w:r>
      <w:r>
        <w:rPr>
          <w:sz w:val="20"/>
        </w:rPr>
        <w:t>means, in relation to each Valuation Date, the party in respect of which Exposure is</w:t>
        <w:tab/>
        <w:t>a positive number and, in relation to a Credit Support Balance, the party which, subject to this Annex, owes such Credit Support Balance or, as the case may be, the Value of such Credit Support Balance to the other party.</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"Transferor" </w:t>
      </w:r>
      <w:r>
        <w:rPr>
          <w:sz w:val="20"/>
        </w:rPr>
        <w:t>means, in relation to a Transferee, the other party.</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"Valuation Agent" </w:t>
      </w:r>
      <w:r>
        <w:rPr>
          <w:sz w:val="20"/>
        </w:rPr>
        <w:t>has the meaning specified in Paragraph 11(c)(i).</w:t>
      </w:r>
    </w:p>
    <w:p>
      <w:pPr>
        <w:pStyle w:val="TextBody"/>
        <w:bidi w:val="0"/>
        <w:spacing w:before="0" w:after="0"/>
        <w:ind w:left="0" w:right="0" w:hanging="0"/>
        <w:jc w:val="both"/>
        <w:rPr/>
      </w:pPr>
      <w:r>
        <w:rPr/>
        <w:t> </w:t>
      </w:r>
    </w:p>
    <w:p>
      <w:pPr>
        <w:pStyle w:val="TextBody"/>
        <w:bidi w:val="0"/>
        <w:spacing w:before="0" w:after="0"/>
        <w:ind w:left="159" w:right="0" w:hanging="0"/>
        <w:jc w:val="both"/>
        <w:rPr>
          <w:sz w:val="20"/>
        </w:rPr>
      </w:pPr>
      <w:r>
        <w:rPr>
          <w:b/>
          <w:i/>
          <w:sz w:val="20"/>
        </w:rPr>
        <w:t xml:space="preserve">"Valuation Date" </w:t>
      </w:r>
      <w:r>
        <w:rPr>
          <w:sz w:val="20"/>
        </w:rPr>
        <w:t>means each date specified in or otherwise determined pursuant to Paragraph 11(c)(ii).</w:t>
      </w:r>
    </w:p>
    <w:p>
      <w:pPr>
        <w:pStyle w:val="TextBody"/>
        <w:bidi w:val="0"/>
        <w:spacing w:before="0" w:after="0"/>
        <w:ind w:left="159"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60" w:right="0" w:hanging="0"/>
        <w:jc w:val="both"/>
        <w:rPr>
          <w:sz w:val="20"/>
        </w:rPr>
      </w:pPr>
      <w:r>
        <w:rPr>
          <w:b/>
          <w:i/>
          <w:sz w:val="20"/>
        </w:rPr>
        <w:t xml:space="preserve">"Valuation Percentage" </w:t>
      </w:r>
      <w:r>
        <w:rPr>
          <w:sz w:val="20"/>
        </w:rPr>
        <w:t>means, for any item of Eligible Credit Support, the percentage specified in Paragraph 11(b)(ii).</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b/>
          <w:i/>
          <w:sz w:val="20"/>
        </w:rPr>
        <w:t xml:space="preserve">"Valuation Time" </w:t>
      </w:r>
      <w:r>
        <w:rPr>
          <w:sz w:val="20"/>
        </w:rPr>
        <w:t>has the meaning specified in Paragraph 11(c)(iii).</w:t>
      </w:r>
    </w:p>
    <w:p>
      <w:pPr>
        <w:pStyle w:val="TextBody"/>
        <w:bidi w:val="0"/>
        <w:spacing w:before="0" w:after="0"/>
        <w:ind w:left="0" w:right="0" w:hanging="0"/>
        <w:jc w:val="both"/>
        <w:rPr/>
      </w:pPr>
      <w:r>
        <w:rPr/>
        <w:t> </w:t>
      </w:r>
    </w:p>
    <w:p>
      <w:pPr>
        <w:pStyle w:val="TextBody"/>
        <w:bidi w:val="0"/>
        <w:spacing w:before="0" w:after="0"/>
        <w:ind w:left="160" w:right="0" w:hanging="0"/>
        <w:jc w:val="both"/>
        <w:rPr>
          <w:sz w:val="20"/>
        </w:rPr>
      </w:pPr>
      <w:r>
        <w:rPr>
          <w:b/>
          <w:i/>
          <w:sz w:val="20"/>
        </w:rPr>
        <w:t xml:space="preserve">"Value" </w:t>
      </w:r>
      <w:r>
        <w:rPr>
          <w:sz w:val="20"/>
        </w:rPr>
        <w:t>means, for any Valuation Date or other date for which Value is calculated, and subject to Paragraph 4 in the case of a dispute, with respect to:</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6"/>
        <w:gridCol w:w="340"/>
        <w:gridCol w:w="9809"/>
      </w:tblGrid>
      <w:tr>
        <w:trPr/>
        <w:tc>
          <w:tcPr>
            <w:tcW w:w="5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both"/>
              <w:rPr/>
            </w:pPr>
            <w:r>
              <w:rPr/>
              <w:t>(i)</w:t>
            </w:r>
          </w:p>
        </w:tc>
        <w:tc>
          <w:tcPr>
            <w:tcW w:w="9809" w:type="dxa"/>
            <w:tcBorders/>
            <w:vAlign w:val="center"/>
          </w:tcPr>
          <w:p>
            <w:pPr>
              <w:pStyle w:val="TableContents"/>
              <w:bidi w:val="0"/>
              <w:spacing w:before="0" w:after="283"/>
              <w:jc w:val="both"/>
              <w:rPr/>
            </w:pPr>
            <w:r>
              <w:rPr/>
              <w:t>Eligible Credit Support comprised in a Credit Support Balance that is:</w:t>
            </w:r>
          </w:p>
        </w:tc>
      </w:tr>
    </w:tbl>
    <w:p>
      <w:pPr>
        <w:pStyle w:val="TextBody"/>
        <w:bidi w:val="0"/>
        <w:spacing w:before="0" w:after="0"/>
        <w:ind w:left="0" w:right="0" w:hanging="0"/>
        <w:jc w:val="both"/>
        <w:rPr/>
      </w:pPr>
      <w:r>
        <w:rPr/>
        <w:t> </w:t>
      </w:r>
    </w:p>
    <w:p>
      <w:pPr>
        <w:pStyle w:val="TextBody"/>
        <w:bidi w:val="0"/>
        <w:spacing w:before="0" w:after="0"/>
        <w:ind w:left="1599" w:right="0" w:hanging="0"/>
        <w:jc w:val="both"/>
        <w:rPr>
          <w:sz w:val="20"/>
        </w:rPr>
      </w:pPr>
      <w:r>
        <w:rPr>
          <w:sz w:val="20"/>
        </w:rPr>
        <w:t>(A) an amount of cash, the Base Currency Equivalent of such amount multiplied by the applicable Valuation Percentage, if any; and</w:t>
      </w:r>
    </w:p>
    <w:p>
      <w:pPr>
        <w:pStyle w:val="TextBody"/>
        <w:bidi w:val="0"/>
        <w:spacing w:before="0" w:after="0"/>
        <w:ind w:left="0" w:right="0" w:hanging="0"/>
        <w:jc w:val="both"/>
        <w:rPr/>
      </w:pPr>
      <w:r>
        <w:rPr/>
        <w:t> </w:t>
      </w:r>
    </w:p>
    <w:p>
      <w:pPr>
        <w:pStyle w:val="TextBody"/>
        <w:bidi w:val="0"/>
        <w:spacing w:before="0" w:after="0"/>
        <w:ind w:left="1599" w:right="0" w:hanging="0"/>
        <w:jc w:val="both"/>
        <w:rPr>
          <w:sz w:val="20"/>
        </w:rPr>
      </w:pPr>
      <w:r>
        <w:rPr>
          <w:sz w:val="20"/>
        </w:rPr>
        <w:t>(B) a security, the Base Currency Equivalent of the bid price obtained by the Valuation Agent multiplied by the applicable Valuation Percentage, if any; and</w:t>
      </w:r>
    </w:p>
    <w:p>
      <w:pPr>
        <w:pStyle w:val="TextBody"/>
        <w:bidi w:val="0"/>
        <w:spacing w:before="0" w:after="0"/>
        <w:ind w:left="0" w:right="0" w:hanging="0"/>
        <w:jc w:val="both"/>
        <w:rPr/>
      </w:pPr>
      <w:r>
        <w:rPr/>
        <w:t> </w:t>
      </w:r>
    </w:p>
    <w:tbl>
      <w:tblPr>
        <w:tblW w:w="9273" w:type="dxa"/>
        <w:jc w:val="left"/>
        <w:tblInd w:w="0" w:type="dxa"/>
        <w:tblLayout w:type="fixed"/>
        <w:tblCellMar>
          <w:top w:w="0" w:type="dxa"/>
          <w:left w:w="0" w:type="dxa"/>
          <w:bottom w:w="0" w:type="dxa"/>
          <w:right w:w="0" w:type="dxa"/>
        </w:tblCellMar>
      </w:tblPr>
      <w:tblGrid>
        <w:gridCol w:w="38"/>
        <w:gridCol w:w="290"/>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both"/>
              <w:rPr/>
            </w:pPr>
            <w:r>
              <w:rPr/>
              <w:t>(ii)</w:t>
            </w:r>
          </w:p>
        </w:tc>
        <w:tc>
          <w:tcPr>
            <w:tcW w:w="8945" w:type="dxa"/>
            <w:tcBorders/>
            <w:vAlign w:val="center"/>
          </w:tcPr>
          <w:p>
            <w:pPr>
              <w:pStyle w:val="TableContents"/>
              <w:bidi w:val="0"/>
              <w:spacing w:before="0" w:after="283"/>
              <w:jc w:val="both"/>
              <w:rPr/>
            </w:pPr>
            <w:r>
              <w:rPr/>
              <w:t>items that are comprised in a Credit Support Balance and are not Eligible Credit Support, zero.</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152" w:right="0" w:hanging="0"/>
        <w:jc w:val="left"/>
        <w:rPr>
          <w:b/>
          <w:sz w:val="20"/>
        </w:rPr>
      </w:pPr>
      <w:r>
        <w:rPr>
          <w:b/>
          <w:sz w:val="20"/>
        </w:rPr>
        <w:t>Is Paragraph 11. Elections and Variables</w:t>
      </w:r>
    </w:p>
    <w:p>
      <w:pPr>
        <w:pStyle w:val="TextBody"/>
        <w:bidi w:val="0"/>
        <w:spacing w:before="241" w:after="241"/>
        <w:ind w:left="1152" w:right="241" w:hanging="0"/>
        <w:jc w:val="left"/>
        <w:rPr>
          <w:sz w:val="20"/>
        </w:rPr>
      </w:pPr>
      <w:r>
        <w:rPr>
          <w:sz w:val="20"/>
        </w:rPr>
        <w:t>(a)       </w:t>
      </w:r>
      <w:r>
        <w:rPr>
          <w:b/>
          <w:i/>
          <w:sz w:val="20"/>
        </w:rPr>
        <w:t>Base Currency and Eligible Currency.</w:t>
      </w:r>
    </w:p>
    <w:p>
      <w:pPr>
        <w:pStyle w:val="TextBody"/>
        <w:bidi w:val="0"/>
        <w:spacing w:before="243" w:after="243"/>
        <w:ind w:left="1872" w:right="243" w:hanging="0"/>
        <w:jc w:val="left"/>
        <w:rPr>
          <w:sz w:val="20"/>
        </w:rPr>
      </w:pPr>
      <w:r>
        <w:rPr>
          <w:sz w:val="20"/>
        </w:rPr>
        <w:t>(i)              “</w:t>
      </w:r>
      <w:r>
        <w:rPr>
          <w:b/>
          <w:i/>
          <w:sz w:val="20"/>
        </w:rPr>
        <w:t>Base Currency</w:t>
      </w:r>
      <w:r>
        <w:rPr>
          <w:sz w:val="20"/>
        </w:rPr>
        <w:t>” means United States Dollars (“</w:t>
      </w:r>
      <w:r>
        <w:rPr>
          <w:b/>
          <w:i/>
          <w:sz w:val="20"/>
        </w:rPr>
        <w:t>USD</w:t>
      </w:r>
      <w:r>
        <w:rPr>
          <w:sz w:val="20"/>
        </w:rPr>
        <w:t>”).</w:t>
      </w:r>
    </w:p>
    <w:p>
      <w:pPr>
        <w:pStyle w:val="TextBody"/>
        <w:bidi w:val="0"/>
        <w:spacing w:before="242" w:after="242"/>
        <w:ind w:left="1872" w:right="242" w:hanging="0"/>
        <w:jc w:val="left"/>
        <w:rPr>
          <w:sz w:val="20"/>
        </w:rPr>
      </w:pPr>
      <w:r>
        <w:rPr>
          <w:sz w:val="20"/>
        </w:rPr>
        <w:t>(ii)            “</w:t>
      </w:r>
      <w:r>
        <w:rPr>
          <w:b/>
          <w:i/>
          <w:sz w:val="20"/>
        </w:rPr>
        <w:t>Eligible Currency</w:t>
      </w:r>
      <w:r>
        <w:rPr>
          <w:sz w:val="20"/>
        </w:rPr>
        <w:t>” means the Base Currency.</w:t>
      </w:r>
    </w:p>
    <w:p>
      <w:pPr>
        <w:pStyle w:val="TextBody"/>
        <w:bidi w:val="0"/>
        <w:spacing w:before="247" w:after="247"/>
        <w:ind w:left="1152" w:right="247" w:hanging="0"/>
        <w:jc w:val="left"/>
        <w:rPr>
          <w:sz w:val="20"/>
        </w:rPr>
      </w:pPr>
      <w:r>
        <w:rPr>
          <w:sz w:val="20"/>
        </w:rPr>
        <w:t>(b)       </w:t>
      </w:r>
      <w:r>
        <w:rPr>
          <w:b/>
          <w:i/>
          <w:sz w:val="20"/>
        </w:rPr>
        <w:t>Credit Support Obligations.</w:t>
      </w:r>
    </w:p>
    <w:p>
      <w:pPr>
        <w:pStyle w:val="TextBody"/>
        <w:bidi w:val="0"/>
        <w:spacing w:before="243" w:after="243"/>
        <w:ind w:left="1872" w:right="243" w:hanging="0"/>
        <w:jc w:val="left"/>
        <w:rPr>
          <w:sz w:val="20"/>
        </w:rPr>
      </w:pPr>
      <w:r>
        <w:rPr>
          <w:sz w:val="20"/>
        </w:rPr>
        <w:t>(i)       </w:t>
      </w:r>
      <w:r>
        <w:rPr>
          <w:b/>
          <w:i/>
          <w:sz w:val="20"/>
        </w:rPr>
        <w:t>Delivery Amount, Return Amount and Credit Support Amount.</w:t>
      </w:r>
    </w:p>
    <w:tbl>
      <w:tblPr>
        <w:tblW w:w="5000" w:type="pct"/>
        <w:jc w:val="left"/>
        <w:tblInd w:w="0" w:type="dxa"/>
        <w:tblLayout w:type="fixed"/>
        <w:tblCellMar>
          <w:top w:w="0" w:type="dxa"/>
          <w:left w:w="0" w:type="dxa"/>
          <w:bottom w:w="0" w:type="dxa"/>
          <w:right w:w="0" w:type="dxa"/>
        </w:tblCellMar>
      </w:tblPr>
      <w:tblGrid>
        <w:gridCol w:w="37"/>
        <w:gridCol w:w="323"/>
        <w:gridCol w:w="9845"/>
      </w:tblGrid>
      <w:tr>
        <w:trPr/>
        <w:tc>
          <w:tcPr>
            <w:tcW w:w="3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pPr>
            <w:r>
              <w:rPr/>
              <w:t>(A)</w:t>
            </w:r>
          </w:p>
        </w:tc>
        <w:tc>
          <w:tcPr>
            <w:tcW w:w="9845" w:type="dxa"/>
            <w:tcBorders/>
            <w:vAlign w:val="center"/>
          </w:tcPr>
          <w:p>
            <w:pPr>
              <w:pStyle w:val="TableContents"/>
              <w:bidi w:val="0"/>
              <w:spacing w:before="0" w:after="283"/>
              <w:jc w:val="both"/>
              <w:rPr/>
            </w:pPr>
            <w:r>
              <w:rPr/>
              <w:t>“</w:t>
            </w:r>
            <w:r>
              <w:rPr>
                <w:b/>
                <w:i/>
              </w:rPr>
              <w:t>Delivery Amount</w:t>
            </w:r>
            <w:r>
              <w:rPr/>
              <w:t>” has the meaning set forth in Paragraph 2(a) (</w:t>
            </w:r>
            <w:r>
              <w:rPr>
                <w:i/>
              </w:rPr>
              <w:t>Delivery Amount</w:t>
            </w:r>
            <w:r>
              <w:rPr/>
              <w:t>) of this Annex unless otherwise specified in the relevant Confirmation.</w:t>
            </w:r>
          </w:p>
        </w:tc>
      </w:tr>
    </w:tbl>
    <w:tbl>
      <w:tblPr>
        <w:tblW w:w="5000" w:type="pct"/>
        <w:jc w:val="left"/>
        <w:tblInd w:w="0" w:type="dxa"/>
        <w:tblLayout w:type="fixed"/>
        <w:tblCellMar>
          <w:top w:w="0" w:type="dxa"/>
          <w:left w:w="0" w:type="dxa"/>
          <w:bottom w:w="0" w:type="dxa"/>
          <w:right w:w="0" w:type="dxa"/>
        </w:tblCellMar>
      </w:tblPr>
      <w:tblGrid>
        <w:gridCol w:w="37"/>
        <w:gridCol w:w="309"/>
        <w:gridCol w:w="9859"/>
      </w:tblGrid>
      <w:tr>
        <w:trPr/>
        <w:tc>
          <w:tcPr>
            <w:tcW w:w="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(B)</w:t>
            </w:r>
          </w:p>
        </w:tc>
        <w:tc>
          <w:tcPr>
            <w:tcW w:w="9859" w:type="dxa"/>
            <w:tcBorders/>
            <w:vAlign w:val="center"/>
          </w:tcPr>
          <w:p>
            <w:pPr>
              <w:pStyle w:val="TableContents"/>
              <w:bidi w:val="0"/>
              <w:spacing w:before="0" w:after="283"/>
              <w:jc w:val="both"/>
              <w:rPr/>
            </w:pPr>
            <w:r>
              <w:rPr/>
              <w:t>“</w:t>
            </w:r>
            <w:r>
              <w:rPr>
                <w:b/>
                <w:i/>
              </w:rPr>
              <w:t>Return Amount</w:t>
            </w:r>
            <w:r>
              <w:rPr/>
              <w:t>” has the meaning set forth in Paragraph 2(b) (</w:t>
            </w:r>
            <w:r>
              <w:rPr>
                <w:i/>
              </w:rPr>
              <w:t>Return Amount</w:t>
            </w:r>
            <w:r>
              <w:rPr/>
              <w:t>) of this Annex unless otherwise specified in the relevant Confirmation.</w:t>
            </w:r>
          </w:p>
        </w:tc>
      </w:tr>
    </w:tbl>
    <w:tbl>
      <w:tblPr>
        <w:tblW w:w="5000" w:type="pct"/>
        <w:jc w:val="left"/>
        <w:tblInd w:w="0" w:type="dxa"/>
        <w:tblLayout w:type="fixed"/>
        <w:tblCellMar>
          <w:top w:w="0" w:type="dxa"/>
          <w:left w:w="0" w:type="dxa"/>
          <w:bottom w:w="0" w:type="dxa"/>
          <w:right w:w="0" w:type="dxa"/>
        </w:tblCellMar>
      </w:tblPr>
      <w:tblGrid>
        <w:gridCol w:w="37"/>
        <w:gridCol w:w="308"/>
        <w:gridCol w:w="9860"/>
      </w:tblGrid>
      <w:tr>
        <w:trPr/>
        <w:tc>
          <w:tcPr>
            <w:tcW w:w="3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(C)</w:t>
            </w:r>
          </w:p>
        </w:tc>
        <w:tc>
          <w:tcPr>
            <w:tcW w:w="9860" w:type="dxa"/>
            <w:tcBorders/>
            <w:vAlign w:val="center"/>
          </w:tcPr>
          <w:p>
            <w:pPr>
              <w:pStyle w:val="TableContents"/>
              <w:bidi w:val="0"/>
              <w:spacing w:before="0" w:after="283"/>
              <w:jc w:val="both"/>
              <w:rPr/>
            </w:pPr>
            <w:r>
              <w:rPr/>
              <w:t>“</w:t>
            </w:r>
            <w:r>
              <w:rPr>
                <w:b/>
                <w:i/>
              </w:rPr>
              <w:t>Credit Support Amount</w:t>
            </w:r>
            <w:r>
              <w:rPr/>
              <w:t>” has the meaning set forth in Paragraph 10 (</w:t>
            </w:r>
            <w:r>
              <w:rPr>
                <w:i/>
              </w:rPr>
              <w:t>Definitions</w:t>
            </w:r>
            <w:r>
              <w:rPr/>
              <w:t>) of this Annex unless otherwise specified in the relevant Confirmation.</w:t>
            </w:r>
          </w:p>
        </w:tc>
      </w:tr>
    </w:tbl>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(ii)</w:t>
            </w:r>
          </w:p>
        </w:tc>
        <w:tc>
          <w:tcPr>
            <w:tcW w:w="9883" w:type="dxa"/>
            <w:tcBorders/>
            <w:vAlign w:val="center"/>
          </w:tcPr>
          <w:p>
            <w:pPr>
              <w:pStyle w:val="TableContents"/>
              <w:bidi w:val="0"/>
              <w:spacing w:before="0" w:after="283"/>
              <w:jc w:val="both"/>
              <w:rPr/>
            </w:pPr>
            <w:r>
              <w:rPr>
                <w:b/>
                <w:i/>
              </w:rPr>
              <w:t xml:space="preserve">Eligible Credit Support. </w:t>
            </w:r>
            <w:r>
              <w:rPr/>
              <w:t>The following items will qualify as “</w:t>
            </w:r>
            <w:r>
              <w:rPr>
                <w:b/>
                <w:i/>
              </w:rPr>
              <w:t>Eligible Credit Support</w:t>
            </w:r>
            <w:r>
              <w:rPr/>
              <w:t>” for the party specified:</w:t>
            </w:r>
          </w:p>
        </w:tc>
      </w:tr>
    </w:tbl>
    <w:tbl>
      <w:tblPr>
        <w:tblW w:w="9370" w:type="dxa"/>
        <w:jc w:val="left"/>
        <w:tblInd w:w="-10" w:type="dxa"/>
        <w:tblLayout w:type="fixed"/>
        <w:tblCellMar>
          <w:top w:w="28" w:type="dxa"/>
          <w:left w:w="28" w:type="dxa"/>
          <w:bottom w:w="28" w:type="dxa"/>
          <w:right w:w="0" w:type="dxa"/>
        </w:tblCellMar>
      </w:tblPr>
      <w:tblGrid>
        <w:gridCol w:w="875"/>
        <w:gridCol w:w="5705"/>
        <w:gridCol w:w="680"/>
        <w:gridCol w:w="680"/>
        <w:gridCol w:w="1430"/>
      </w:tblGrid>
      <w:tr>
        <w:trPr/>
        <w:tc>
          <w:tcPr>
            <w:tcW w:w="87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5705"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 </w:t>
            </w:r>
          </w:p>
        </w:tc>
        <w:tc>
          <w:tcPr>
            <w:tcW w:w="680" w:type="dxa"/>
            <w:tcBorders>
              <w:top w:val="single" w:sz="8" w:space="0" w:color="000000"/>
              <w:bottom w:val="single" w:sz="8" w:space="0" w:color="000000"/>
              <w:right w:val="single" w:sz="8" w:space="0" w:color="000000"/>
            </w:tcBorders>
            <w:tcMar>
              <w:top w:w="258" w:type="dxa"/>
              <w:left w:w="0" w:type="dxa"/>
              <w:bottom w:w="266" w:type="dxa"/>
              <w:right w:w="28" w:type="dxa"/>
            </w:tcMar>
            <w:vAlign w:val="center"/>
          </w:tcPr>
          <w:p>
            <w:pPr>
              <w:pStyle w:val="TableContents"/>
              <w:bidi w:val="0"/>
              <w:spacing w:before="0" w:after="283"/>
              <w:jc w:val="center"/>
              <w:rPr>
                <w:b/>
                <w:sz w:val="20"/>
              </w:rPr>
            </w:pPr>
            <w:r>
              <w:rPr>
                <w:b/>
                <w:sz w:val="20"/>
              </w:rPr>
              <w:t>Party A</w:t>
            </w:r>
          </w:p>
        </w:tc>
        <w:tc>
          <w:tcPr>
            <w:tcW w:w="680" w:type="dxa"/>
            <w:tcBorders>
              <w:top w:val="single" w:sz="8" w:space="0" w:color="000000"/>
              <w:bottom w:val="single" w:sz="8" w:space="0" w:color="000000"/>
              <w:right w:val="single" w:sz="8" w:space="0" w:color="000000"/>
            </w:tcBorders>
            <w:tcMar>
              <w:top w:w="258" w:type="dxa"/>
              <w:left w:w="0" w:type="dxa"/>
              <w:bottom w:w="266" w:type="dxa"/>
              <w:right w:w="28" w:type="dxa"/>
            </w:tcMar>
            <w:vAlign w:val="center"/>
          </w:tcPr>
          <w:p>
            <w:pPr>
              <w:pStyle w:val="TableContents"/>
              <w:bidi w:val="0"/>
              <w:spacing w:before="0" w:after="283"/>
              <w:jc w:val="center"/>
              <w:rPr>
                <w:b/>
                <w:sz w:val="20"/>
              </w:rPr>
            </w:pPr>
            <w:r>
              <w:rPr>
                <w:b/>
                <w:sz w:val="20"/>
              </w:rPr>
              <w:t>Party B</w:t>
            </w:r>
          </w:p>
        </w:tc>
        <w:tc>
          <w:tcPr>
            <w:tcW w:w="1430" w:type="dxa"/>
            <w:tcBorders>
              <w:top w:val="single" w:sz="8" w:space="0" w:color="000000"/>
              <w:bottom w:val="single" w:sz="8" w:space="0" w:color="000000"/>
              <w:right w:val="single" w:sz="8" w:space="0" w:color="000000"/>
            </w:tcBorders>
            <w:tcMar>
              <w:top w:w="85" w:type="dxa"/>
              <w:left w:w="0" w:type="dxa"/>
              <w:bottom w:w="132" w:type="dxa"/>
              <w:right w:w="28" w:type="dxa"/>
            </w:tcMar>
            <w:vAlign w:val="center"/>
          </w:tcPr>
          <w:p>
            <w:pPr>
              <w:pStyle w:val="TableContents"/>
              <w:bidi w:val="0"/>
              <w:spacing w:before="0" w:after="283"/>
              <w:ind w:left="0" w:right="0" w:hanging="0"/>
              <w:jc w:val="center"/>
              <w:rPr>
                <w:b/>
                <w:sz w:val="20"/>
              </w:rPr>
            </w:pPr>
            <w:r>
              <w:rPr>
                <w:b/>
                <w:sz w:val="20"/>
              </w:rPr>
              <w:t xml:space="preserve">Valuation </w:t>
              <w:br/>
              <w:t>Percentage</w:t>
            </w:r>
          </w:p>
        </w:tc>
      </w:tr>
      <w:tr>
        <w:trPr/>
        <w:tc>
          <w:tcPr>
            <w:tcW w:w="875" w:type="dxa"/>
            <w:tcBorders>
              <w:left w:val="single" w:sz="8" w:space="0" w:color="000000"/>
              <w:bottom w:val="single" w:sz="8" w:space="0" w:color="000000"/>
            </w:tcBorders>
            <w:tcMar>
              <w:top w:w="0" w:type="dxa"/>
              <w:bottom w:w="131" w:type="dxa"/>
            </w:tcMar>
            <w:vAlign w:val="center"/>
          </w:tcPr>
          <w:p>
            <w:pPr>
              <w:pStyle w:val="TableContents"/>
              <w:bidi w:val="0"/>
              <w:spacing w:before="0" w:after="283"/>
              <w:jc w:val="left"/>
              <w:rPr>
                <w:sz w:val="20"/>
              </w:rPr>
            </w:pPr>
            <w:r>
              <w:rPr>
                <w:sz w:val="20"/>
              </w:rPr>
              <w:t>(A)            </w:t>
            </w:r>
          </w:p>
        </w:tc>
        <w:tc>
          <w:tcPr>
            <w:tcW w:w="5705" w:type="dxa"/>
            <w:tcBorders>
              <w:bottom w:val="single" w:sz="8" w:space="0" w:color="000000"/>
              <w:right w:val="single" w:sz="8" w:space="0" w:color="000000"/>
            </w:tcBorders>
            <w:tcMar>
              <w:top w:w="0" w:type="dxa"/>
              <w:left w:w="0" w:type="dxa"/>
              <w:bottom w:w="131" w:type="dxa"/>
              <w:right w:w="28" w:type="dxa"/>
            </w:tcMar>
            <w:vAlign w:val="center"/>
          </w:tcPr>
          <w:p>
            <w:pPr>
              <w:pStyle w:val="TableContents"/>
              <w:bidi w:val="0"/>
              <w:spacing w:before="0" w:after="283"/>
              <w:jc w:val="left"/>
              <w:rPr>
                <w:sz w:val="20"/>
              </w:rPr>
            </w:pPr>
            <w:r>
              <w:rPr>
                <w:sz w:val="20"/>
              </w:rPr>
              <w:t>Underlying Asset</w:t>
            </w:r>
          </w:p>
        </w:tc>
        <w:tc>
          <w:tcPr>
            <w:tcW w:w="680" w:type="dxa"/>
            <w:tcBorders>
              <w:bottom w:val="single" w:sz="8" w:space="0" w:color="000000"/>
              <w:right w:val="single" w:sz="8" w:space="0" w:color="000000"/>
            </w:tcBorders>
            <w:tcMar>
              <w:top w:w="0" w:type="dxa"/>
              <w:left w:w="0" w:type="dxa"/>
              <w:bottom w:w="131" w:type="dxa"/>
              <w:right w:w="28" w:type="dxa"/>
            </w:tcMar>
            <w:vAlign w:val="center"/>
          </w:tcPr>
          <w:p>
            <w:pPr>
              <w:pStyle w:val="TableContents"/>
              <w:bidi w:val="0"/>
              <w:spacing w:before="0" w:after="283"/>
              <w:jc w:val="center"/>
              <w:rPr>
                <w:sz w:val="20"/>
              </w:rPr>
            </w:pPr>
            <w:r>
              <w:rPr>
                <w:sz w:val="20"/>
              </w:rPr>
              <w:t>X</w:t>
            </w:r>
          </w:p>
        </w:tc>
        <w:tc>
          <w:tcPr>
            <w:tcW w:w="680" w:type="dxa"/>
            <w:tcBorders>
              <w:bottom w:val="single" w:sz="8" w:space="0" w:color="000000"/>
              <w:right w:val="single" w:sz="8" w:space="0" w:color="000000"/>
            </w:tcBorders>
            <w:tcMar>
              <w:top w:w="0" w:type="dxa"/>
              <w:left w:w="0" w:type="dxa"/>
              <w:bottom w:w="131" w:type="dxa"/>
              <w:right w:w="28" w:type="dxa"/>
            </w:tcMar>
            <w:vAlign w:val="center"/>
          </w:tcPr>
          <w:p>
            <w:pPr>
              <w:pStyle w:val="TableContents"/>
              <w:bidi w:val="0"/>
              <w:spacing w:before="0" w:after="283"/>
              <w:jc w:val="center"/>
              <w:rPr>
                <w:sz w:val="20"/>
              </w:rPr>
            </w:pPr>
            <w:r>
              <w:rPr>
                <w:sz w:val="20"/>
              </w:rPr>
              <w:t>X</w:t>
            </w:r>
          </w:p>
        </w:tc>
        <w:tc>
          <w:tcPr>
            <w:tcW w:w="1430" w:type="dxa"/>
            <w:tcBorders>
              <w:bottom w:val="single" w:sz="8" w:space="0" w:color="000000"/>
              <w:right w:val="single" w:sz="8" w:space="0" w:color="000000"/>
            </w:tcBorders>
            <w:tcMar>
              <w:top w:w="0" w:type="dxa"/>
              <w:left w:w="0" w:type="dxa"/>
              <w:bottom w:w="131" w:type="dxa"/>
              <w:right w:w="28" w:type="dxa"/>
            </w:tcMar>
            <w:vAlign w:val="center"/>
          </w:tcPr>
          <w:p>
            <w:pPr>
              <w:pStyle w:val="TableContents"/>
              <w:bidi w:val="0"/>
              <w:spacing w:before="0" w:after="283"/>
              <w:ind w:left="0" w:right="0" w:hanging="0"/>
              <w:jc w:val="center"/>
              <w:rPr>
                <w:sz w:val="20"/>
              </w:rPr>
            </w:pPr>
            <w:r>
              <w:rPr>
                <w:sz w:val="20"/>
              </w:rPr>
              <w:t>100%</w:t>
            </w:r>
          </w:p>
        </w:tc>
      </w:tr>
      <w:tr>
        <w:trPr/>
        <w:tc>
          <w:tcPr>
            <w:tcW w:w="875" w:type="dxa"/>
            <w:tcBorders>
              <w:left w:val="single" w:sz="8" w:space="0" w:color="000000"/>
              <w:bottom w:val="single" w:sz="8" w:space="0" w:color="000000"/>
            </w:tcBorders>
            <w:tcMar>
              <w:top w:w="0" w:type="dxa"/>
              <w:bottom w:w="122" w:type="dxa"/>
            </w:tcMar>
            <w:vAlign w:val="center"/>
          </w:tcPr>
          <w:p>
            <w:pPr>
              <w:pStyle w:val="TableContents"/>
              <w:bidi w:val="0"/>
              <w:spacing w:before="0" w:after="283"/>
              <w:jc w:val="left"/>
              <w:rPr>
                <w:sz w:val="20"/>
              </w:rPr>
            </w:pPr>
            <w:r>
              <w:rPr>
                <w:sz w:val="20"/>
              </w:rPr>
              <w:t>(B)             </w:t>
            </w:r>
          </w:p>
        </w:tc>
        <w:tc>
          <w:tcPr>
            <w:tcW w:w="5705" w:type="dxa"/>
            <w:tcBorders>
              <w:bottom w:val="single" w:sz="8" w:space="0" w:color="000000"/>
              <w:right w:val="single" w:sz="8" w:space="0" w:color="000000"/>
            </w:tcBorders>
            <w:tcMar>
              <w:top w:w="0" w:type="dxa"/>
              <w:left w:w="0" w:type="dxa"/>
              <w:bottom w:w="122" w:type="dxa"/>
              <w:right w:w="28" w:type="dxa"/>
            </w:tcMar>
            <w:vAlign w:val="center"/>
          </w:tcPr>
          <w:p>
            <w:pPr>
              <w:pStyle w:val="TableContents"/>
              <w:bidi w:val="0"/>
              <w:spacing w:before="0" w:after="283"/>
              <w:jc w:val="left"/>
              <w:rPr>
                <w:sz w:val="20"/>
              </w:rPr>
            </w:pPr>
            <w:r>
              <w:rPr>
                <w:sz w:val="20"/>
              </w:rPr>
              <w:t>USD Coin (USDC)</w:t>
            </w:r>
          </w:p>
        </w:tc>
        <w:tc>
          <w:tcPr>
            <w:tcW w:w="680" w:type="dxa"/>
            <w:tcBorders>
              <w:bottom w:val="single" w:sz="8" w:space="0" w:color="000000"/>
              <w:right w:val="single" w:sz="8" w:space="0" w:color="000000"/>
            </w:tcBorders>
            <w:tcMar>
              <w:top w:w="0" w:type="dxa"/>
              <w:left w:w="0" w:type="dxa"/>
              <w:bottom w:w="122" w:type="dxa"/>
              <w:right w:w="28" w:type="dxa"/>
            </w:tcMar>
            <w:vAlign w:val="center"/>
          </w:tcPr>
          <w:p>
            <w:pPr>
              <w:pStyle w:val="TableContents"/>
              <w:bidi w:val="0"/>
              <w:spacing w:before="0" w:after="283"/>
              <w:jc w:val="center"/>
              <w:rPr>
                <w:sz w:val="20"/>
              </w:rPr>
            </w:pPr>
            <w:r>
              <w:rPr>
                <w:sz w:val="20"/>
              </w:rPr>
              <w:t>X</w:t>
            </w:r>
          </w:p>
        </w:tc>
        <w:tc>
          <w:tcPr>
            <w:tcW w:w="680" w:type="dxa"/>
            <w:tcBorders>
              <w:bottom w:val="single" w:sz="8" w:space="0" w:color="000000"/>
              <w:right w:val="single" w:sz="8" w:space="0" w:color="000000"/>
            </w:tcBorders>
            <w:tcMar>
              <w:top w:w="0" w:type="dxa"/>
              <w:left w:w="0" w:type="dxa"/>
              <w:bottom w:w="122" w:type="dxa"/>
              <w:right w:w="28" w:type="dxa"/>
            </w:tcMar>
            <w:vAlign w:val="center"/>
          </w:tcPr>
          <w:p>
            <w:pPr>
              <w:pStyle w:val="TableContents"/>
              <w:bidi w:val="0"/>
              <w:spacing w:before="0" w:after="283"/>
              <w:jc w:val="center"/>
              <w:rPr>
                <w:sz w:val="20"/>
              </w:rPr>
            </w:pPr>
            <w:r>
              <w:rPr>
                <w:sz w:val="20"/>
              </w:rPr>
              <w:t>X</w:t>
            </w:r>
          </w:p>
        </w:tc>
        <w:tc>
          <w:tcPr>
            <w:tcW w:w="1430" w:type="dxa"/>
            <w:tcBorders>
              <w:bottom w:val="single" w:sz="8" w:space="0" w:color="000000"/>
              <w:right w:val="single" w:sz="8" w:space="0" w:color="000000"/>
            </w:tcBorders>
            <w:tcMar>
              <w:top w:w="0" w:type="dxa"/>
              <w:left w:w="0" w:type="dxa"/>
              <w:bottom w:w="122" w:type="dxa"/>
              <w:right w:w="28" w:type="dxa"/>
            </w:tcMar>
            <w:vAlign w:val="center"/>
          </w:tcPr>
          <w:p>
            <w:pPr>
              <w:pStyle w:val="TableContents"/>
              <w:bidi w:val="0"/>
              <w:spacing w:before="0" w:after="283"/>
              <w:ind w:left="0" w:right="0" w:hanging="0"/>
              <w:jc w:val="center"/>
              <w:rPr>
                <w:sz w:val="20"/>
              </w:rPr>
            </w:pPr>
            <w:r>
              <w:rPr>
                <w:sz w:val="20"/>
              </w:rPr>
              <w:t>100%</w:t>
            </w:r>
          </w:p>
        </w:tc>
      </w:tr>
      <w:tr>
        <w:trPr/>
        <w:tc>
          <w:tcPr>
            <w:tcW w:w="875" w:type="dxa"/>
            <w:tcBorders>
              <w:left w:val="single" w:sz="8" w:space="0" w:color="000000"/>
              <w:bottom w:val="single" w:sz="8" w:space="0" w:color="000000"/>
            </w:tcBorders>
            <w:tcMar>
              <w:top w:w="0" w:type="dxa"/>
              <w:bottom w:w="131" w:type="dxa"/>
            </w:tcMar>
            <w:vAlign w:val="center"/>
          </w:tcPr>
          <w:p>
            <w:pPr>
              <w:pStyle w:val="TableContents"/>
              <w:bidi w:val="0"/>
              <w:spacing w:before="0" w:after="283"/>
              <w:jc w:val="left"/>
              <w:rPr>
                <w:sz w:val="20"/>
              </w:rPr>
            </w:pPr>
            <w:r>
              <w:rPr>
                <w:sz w:val="20"/>
              </w:rPr>
              <w:t>(C)             </w:t>
            </w:r>
          </w:p>
        </w:tc>
        <w:tc>
          <w:tcPr>
            <w:tcW w:w="5705" w:type="dxa"/>
            <w:tcBorders>
              <w:bottom w:val="single" w:sz="8" w:space="0" w:color="000000"/>
              <w:right w:val="single" w:sz="8" w:space="0" w:color="000000"/>
            </w:tcBorders>
            <w:tcMar>
              <w:top w:w="0" w:type="dxa"/>
              <w:left w:w="0" w:type="dxa"/>
              <w:bottom w:w="131" w:type="dxa"/>
              <w:right w:w="28" w:type="dxa"/>
            </w:tcMar>
            <w:vAlign w:val="center"/>
          </w:tcPr>
          <w:p>
            <w:pPr>
              <w:pStyle w:val="TableContents"/>
              <w:bidi w:val="0"/>
              <w:spacing w:before="0" w:after="283"/>
              <w:jc w:val="left"/>
              <w:rPr>
                <w:sz w:val="20"/>
              </w:rPr>
            </w:pPr>
            <w:r>
              <w:rPr>
                <w:sz w:val="20"/>
              </w:rPr>
              <w:t>Tether (USDT)</w:t>
            </w:r>
          </w:p>
        </w:tc>
        <w:tc>
          <w:tcPr>
            <w:tcW w:w="680" w:type="dxa"/>
            <w:tcBorders>
              <w:bottom w:val="single" w:sz="8" w:space="0" w:color="000000"/>
              <w:right w:val="single" w:sz="8" w:space="0" w:color="000000"/>
            </w:tcBorders>
            <w:tcMar>
              <w:top w:w="0" w:type="dxa"/>
              <w:left w:w="0" w:type="dxa"/>
              <w:bottom w:w="131" w:type="dxa"/>
              <w:right w:w="28" w:type="dxa"/>
            </w:tcMar>
            <w:vAlign w:val="center"/>
          </w:tcPr>
          <w:p>
            <w:pPr>
              <w:pStyle w:val="TableContents"/>
              <w:bidi w:val="0"/>
              <w:spacing w:before="0" w:after="283"/>
              <w:jc w:val="center"/>
              <w:rPr>
                <w:sz w:val="20"/>
              </w:rPr>
            </w:pPr>
            <w:r>
              <w:rPr>
                <w:sz w:val="20"/>
              </w:rPr>
              <w:t>X</w:t>
            </w:r>
          </w:p>
        </w:tc>
        <w:tc>
          <w:tcPr>
            <w:tcW w:w="680" w:type="dxa"/>
            <w:tcBorders>
              <w:bottom w:val="single" w:sz="8" w:space="0" w:color="000000"/>
              <w:right w:val="single" w:sz="8" w:space="0" w:color="000000"/>
            </w:tcBorders>
            <w:tcMar>
              <w:top w:w="0" w:type="dxa"/>
              <w:left w:w="0" w:type="dxa"/>
              <w:bottom w:w="131" w:type="dxa"/>
              <w:right w:w="28" w:type="dxa"/>
            </w:tcMar>
            <w:vAlign w:val="center"/>
          </w:tcPr>
          <w:p>
            <w:pPr>
              <w:pStyle w:val="TableContents"/>
              <w:bidi w:val="0"/>
              <w:spacing w:before="0" w:after="283"/>
              <w:jc w:val="center"/>
              <w:rPr>
                <w:sz w:val="20"/>
              </w:rPr>
            </w:pPr>
            <w:r>
              <w:rPr>
                <w:sz w:val="20"/>
              </w:rPr>
              <w:t>X</w:t>
            </w:r>
          </w:p>
        </w:tc>
        <w:tc>
          <w:tcPr>
            <w:tcW w:w="1430" w:type="dxa"/>
            <w:tcBorders>
              <w:bottom w:val="single" w:sz="8" w:space="0" w:color="000000"/>
              <w:right w:val="single" w:sz="8" w:space="0" w:color="000000"/>
            </w:tcBorders>
            <w:tcMar>
              <w:top w:w="0" w:type="dxa"/>
              <w:left w:w="0" w:type="dxa"/>
              <w:bottom w:w="131" w:type="dxa"/>
              <w:right w:w="28" w:type="dxa"/>
            </w:tcMar>
            <w:vAlign w:val="center"/>
          </w:tcPr>
          <w:p>
            <w:pPr>
              <w:pStyle w:val="TableContents"/>
              <w:bidi w:val="0"/>
              <w:spacing w:before="0" w:after="283"/>
              <w:ind w:left="0" w:right="0" w:hanging="0"/>
              <w:jc w:val="center"/>
              <w:rPr>
                <w:sz w:val="20"/>
              </w:rPr>
            </w:pPr>
            <w:r>
              <w:rPr>
                <w:sz w:val="20"/>
              </w:rPr>
              <w:t>100%</w:t>
            </w:r>
          </w:p>
        </w:tc>
      </w:tr>
      <w:tr>
        <w:trPr/>
        <w:tc>
          <w:tcPr>
            <w:tcW w:w="875" w:type="dxa"/>
            <w:tcBorders>
              <w:left w:val="single" w:sz="8" w:space="0" w:color="000000"/>
              <w:bottom w:val="single" w:sz="8" w:space="0" w:color="000000"/>
            </w:tcBorders>
            <w:tcMar>
              <w:top w:w="0" w:type="dxa"/>
              <w:bottom w:w="126" w:type="dxa"/>
            </w:tcMar>
            <w:vAlign w:val="center"/>
          </w:tcPr>
          <w:p>
            <w:pPr>
              <w:pStyle w:val="TableContents"/>
              <w:bidi w:val="0"/>
              <w:spacing w:before="0" w:after="283"/>
              <w:jc w:val="left"/>
              <w:rPr>
                <w:sz w:val="20"/>
              </w:rPr>
            </w:pPr>
            <w:r>
              <w:rPr>
                <w:sz w:val="20"/>
              </w:rPr>
              <w:t>(D)            </w:t>
            </w:r>
          </w:p>
        </w:tc>
        <w:tc>
          <w:tcPr>
            <w:tcW w:w="5705" w:type="dxa"/>
            <w:tcBorders>
              <w:bottom w:val="single" w:sz="8" w:space="0" w:color="000000"/>
              <w:right w:val="single" w:sz="8" w:space="0" w:color="000000"/>
            </w:tcBorders>
            <w:tcMar>
              <w:top w:w="0" w:type="dxa"/>
              <w:left w:w="0" w:type="dxa"/>
              <w:bottom w:w="126" w:type="dxa"/>
              <w:right w:w="28" w:type="dxa"/>
            </w:tcMar>
            <w:vAlign w:val="center"/>
          </w:tcPr>
          <w:p>
            <w:pPr>
              <w:pStyle w:val="TableContents"/>
              <w:bidi w:val="0"/>
              <w:spacing w:before="0" w:after="283"/>
              <w:jc w:val="left"/>
              <w:rPr>
                <w:sz w:val="20"/>
              </w:rPr>
            </w:pPr>
            <w:r>
              <w:rPr>
                <w:sz w:val="20"/>
              </w:rPr>
              <w:t>Bitcoin (BTC)</w:t>
            </w:r>
          </w:p>
        </w:tc>
        <w:tc>
          <w:tcPr>
            <w:tcW w:w="680" w:type="dxa"/>
            <w:tcBorders>
              <w:bottom w:val="single" w:sz="8" w:space="0" w:color="000000"/>
              <w:right w:val="single" w:sz="8" w:space="0" w:color="000000"/>
            </w:tcBorders>
            <w:tcMar>
              <w:top w:w="0" w:type="dxa"/>
              <w:left w:w="0" w:type="dxa"/>
              <w:bottom w:w="126" w:type="dxa"/>
              <w:right w:w="28" w:type="dxa"/>
            </w:tcMar>
            <w:vAlign w:val="center"/>
          </w:tcPr>
          <w:p>
            <w:pPr>
              <w:pStyle w:val="TableContents"/>
              <w:bidi w:val="0"/>
              <w:spacing w:before="0" w:after="283"/>
              <w:jc w:val="center"/>
              <w:rPr>
                <w:sz w:val="20"/>
              </w:rPr>
            </w:pPr>
            <w:r>
              <w:rPr>
                <w:sz w:val="20"/>
              </w:rPr>
              <w:t>X</w:t>
            </w:r>
          </w:p>
        </w:tc>
        <w:tc>
          <w:tcPr>
            <w:tcW w:w="680" w:type="dxa"/>
            <w:tcBorders>
              <w:bottom w:val="single" w:sz="8" w:space="0" w:color="000000"/>
              <w:right w:val="single" w:sz="8" w:space="0" w:color="000000"/>
            </w:tcBorders>
            <w:tcMar>
              <w:top w:w="0" w:type="dxa"/>
              <w:left w:w="0" w:type="dxa"/>
              <w:bottom w:w="126" w:type="dxa"/>
              <w:right w:w="28" w:type="dxa"/>
            </w:tcMar>
            <w:vAlign w:val="center"/>
          </w:tcPr>
          <w:p>
            <w:pPr>
              <w:pStyle w:val="TableContents"/>
              <w:bidi w:val="0"/>
              <w:spacing w:before="0" w:after="283"/>
              <w:jc w:val="center"/>
              <w:rPr>
                <w:sz w:val="20"/>
              </w:rPr>
            </w:pPr>
            <w:r>
              <w:rPr>
                <w:sz w:val="20"/>
              </w:rPr>
              <w:t>X</w:t>
            </w:r>
          </w:p>
        </w:tc>
        <w:tc>
          <w:tcPr>
            <w:tcW w:w="1430" w:type="dxa"/>
            <w:tcBorders>
              <w:bottom w:val="single" w:sz="8" w:space="0" w:color="000000"/>
              <w:right w:val="single" w:sz="8" w:space="0" w:color="000000"/>
            </w:tcBorders>
            <w:tcMar>
              <w:top w:w="0" w:type="dxa"/>
              <w:left w:w="0" w:type="dxa"/>
              <w:bottom w:w="126" w:type="dxa"/>
              <w:right w:w="28" w:type="dxa"/>
            </w:tcMar>
            <w:vAlign w:val="center"/>
          </w:tcPr>
          <w:p>
            <w:pPr>
              <w:pStyle w:val="TableContents"/>
              <w:bidi w:val="0"/>
              <w:spacing w:before="0" w:after="283"/>
              <w:ind w:left="0" w:right="0" w:hanging="0"/>
              <w:jc w:val="center"/>
              <w:rPr>
                <w:sz w:val="20"/>
              </w:rPr>
            </w:pPr>
            <w:r>
              <w:rPr>
                <w:sz w:val="20"/>
              </w:rPr>
              <w:t>85%</w:t>
            </w:r>
          </w:p>
        </w:tc>
      </w:tr>
      <w:tr>
        <w:trPr/>
        <w:tc>
          <w:tcPr>
            <w:tcW w:w="875" w:type="dxa"/>
            <w:tcBorders>
              <w:left w:val="single" w:sz="8" w:space="0" w:color="000000"/>
              <w:bottom w:val="single" w:sz="8" w:space="0" w:color="000000"/>
            </w:tcBorders>
            <w:tcMar>
              <w:top w:w="0" w:type="dxa"/>
              <w:bottom w:w="136" w:type="dxa"/>
            </w:tcMar>
            <w:vAlign w:val="center"/>
          </w:tcPr>
          <w:p>
            <w:pPr>
              <w:pStyle w:val="TableContents"/>
              <w:bidi w:val="0"/>
              <w:spacing w:before="0" w:after="283"/>
              <w:jc w:val="left"/>
              <w:rPr>
                <w:sz w:val="20"/>
              </w:rPr>
            </w:pPr>
            <w:r>
              <w:rPr>
                <w:sz w:val="20"/>
              </w:rPr>
              <w:t>(E)             </w:t>
            </w:r>
          </w:p>
        </w:tc>
        <w:tc>
          <w:tcPr>
            <w:tcW w:w="5705" w:type="dxa"/>
            <w:tcBorders>
              <w:bottom w:val="single" w:sz="8" w:space="0" w:color="000000"/>
              <w:right w:val="single" w:sz="8" w:space="0" w:color="000000"/>
            </w:tcBorders>
            <w:tcMar>
              <w:top w:w="0" w:type="dxa"/>
              <w:left w:w="0" w:type="dxa"/>
              <w:bottom w:w="136" w:type="dxa"/>
              <w:right w:w="28" w:type="dxa"/>
            </w:tcMar>
            <w:vAlign w:val="center"/>
          </w:tcPr>
          <w:p>
            <w:pPr>
              <w:pStyle w:val="TableContents"/>
              <w:bidi w:val="0"/>
              <w:spacing w:before="0" w:after="283"/>
              <w:jc w:val="left"/>
              <w:rPr>
                <w:sz w:val="20"/>
              </w:rPr>
            </w:pPr>
            <w:r>
              <w:rPr>
                <w:sz w:val="20"/>
              </w:rPr>
              <w:t>Ether (ETH)</w:t>
            </w:r>
          </w:p>
        </w:tc>
        <w:tc>
          <w:tcPr>
            <w:tcW w:w="680" w:type="dxa"/>
            <w:tcBorders>
              <w:bottom w:val="single" w:sz="8" w:space="0" w:color="000000"/>
              <w:right w:val="single" w:sz="8" w:space="0" w:color="000000"/>
            </w:tcBorders>
            <w:tcMar>
              <w:top w:w="0" w:type="dxa"/>
              <w:left w:w="0" w:type="dxa"/>
              <w:bottom w:w="136" w:type="dxa"/>
              <w:right w:w="28" w:type="dxa"/>
            </w:tcMar>
            <w:vAlign w:val="center"/>
          </w:tcPr>
          <w:p>
            <w:pPr>
              <w:pStyle w:val="TableContents"/>
              <w:bidi w:val="0"/>
              <w:spacing w:before="0" w:after="283"/>
              <w:jc w:val="center"/>
              <w:rPr>
                <w:sz w:val="20"/>
              </w:rPr>
            </w:pPr>
            <w:r>
              <w:rPr>
                <w:sz w:val="20"/>
              </w:rPr>
              <w:t>X</w:t>
            </w:r>
          </w:p>
        </w:tc>
        <w:tc>
          <w:tcPr>
            <w:tcW w:w="680" w:type="dxa"/>
            <w:tcBorders>
              <w:bottom w:val="single" w:sz="8" w:space="0" w:color="000000"/>
              <w:right w:val="single" w:sz="8" w:space="0" w:color="000000"/>
            </w:tcBorders>
            <w:tcMar>
              <w:top w:w="0" w:type="dxa"/>
              <w:left w:w="0" w:type="dxa"/>
              <w:bottom w:w="136" w:type="dxa"/>
              <w:right w:w="28" w:type="dxa"/>
            </w:tcMar>
            <w:vAlign w:val="center"/>
          </w:tcPr>
          <w:p>
            <w:pPr>
              <w:pStyle w:val="TableContents"/>
              <w:bidi w:val="0"/>
              <w:spacing w:before="0" w:after="283"/>
              <w:jc w:val="center"/>
              <w:rPr>
                <w:sz w:val="20"/>
              </w:rPr>
            </w:pPr>
            <w:r>
              <w:rPr>
                <w:sz w:val="20"/>
              </w:rPr>
              <w:t>X</w:t>
            </w:r>
          </w:p>
        </w:tc>
        <w:tc>
          <w:tcPr>
            <w:tcW w:w="1430" w:type="dxa"/>
            <w:tcBorders>
              <w:bottom w:val="single" w:sz="8" w:space="0" w:color="000000"/>
              <w:right w:val="single" w:sz="8" w:space="0" w:color="000000"/>
            </w:tcBorders>
            <w:tcMar>
              <w:top w:w="0" w:type="dxa"/>
              <w:left w:w="0" w:type="dxa"/>
              <w:bottom w:w="136" w:type="dxa"/>
              <w:right w:w="28" w:type="dxa"/>
            </w:tcMar>
            <w:vAlign w:val="center"/>
          </w:tcPr>
          <w:p>
            <w:pPr>
              <w:pStyle w:val="TableContents"/>
              <w:bidi w:val="0"/>
              <w:spacing w:before="0" w:after="283"/>
              <w:ind w:left="0" w:right="0" w:hanging="0"/>
              <w:jc w:val="center"/>
              <w:rPr>
                <w:sz w:val="20"/>
              </w:rPr>
            </w:pPr>
            <w:r>
              <w:rPr>
                <w:sz w:val="20"/>
              </w:rPr>
              <w:t>85%</w:t>
            </w:r>
          </w:p>
        </w:tc>
      </w:tr>
      <w:tr>
        <w:trPr/>
        <w:tc>
          <w:tcPr>
            <w:tcW w:w="875" w:type="dxa"/>
            <w:tcBorders>
              <w:left w:val="single" w:sz="8" w:space="0" w:color="000000"/>
              <w:bottom w:val="single" w:sz="8" w:space="0" w:color="000000"/>
            </w:tcBorders>
            <w:tcMar>
              <w:top w:w="0" w:type="dxa"/>
              <w:bottom w:w="414" w:type="dxa"/>
            </w:tcMar>
            <w:vAlign w:val="center"/>
          </w:tcPr>
          <w:p>
            <w:pPr>
              <w:pStyle w:val="TableContents"/>
              <w:bidi w:val="0"/>
              <w:spacing w:before="0" w:after="283"/>
              <w:jc w:val="left"/>
              <w:rPr>
                <w:sz w:val="20"/>
              </w:rPr>
            </w:pPr>
            <w:r>
              <w:rPr>
                <w:sz w:val="20"/>
              </w:rPr>
              <w:t>(F)             </w:t>
            </w:r>
          </w:p>
        </w:tc>
        <w:tc>
          <w:tcPr>
            <w:tcW w:w="5705" w:type="dxa"/>
            <w:tcBorders>
              <w:bottom w:val="single" w:sz="8" w:space="0" w:color="000000"/>
              <w:right w:val="single" w:sz="8" w:space="0" w:color="000000"/>
            </w:tcBorders>
            <w:tcMar>
              <w:top w:w="0" w:type="dxa"/>
              <w:left w:w="0" w:type="dxa"/>
              <w:bottom w:w="145" w:type="dxa"/>
              <w:right w:w="252" w:type="dxa"/>
            </w:tcMar>
            <w:vAlign w:val="center"/>
          </w:tcPr>
          <w:p>
            <w:pPr>
              <w:pStyle w:val="TableContents"/>
              <w:bidi w:val="0"/>
              <w:spacing w:before="0" w:after="283"/>
              <w:jc w:val="left"/>
              <w:rPr>
                <w:sz w:val="20"/>
              </w:rPr>
            </w:pPr>
            <w:r>
              <w:rPr>
                <w:sz w:val="20"/>
              </w:rPr>
              <w:t>Any other item agreed upon in writing from time to time by the parties</w:t>
            </w:r>
          </w:p>
        </w:tc>
        <w:tc>
          <w:tcPr>
            <w:tcW w:w="680" w:type="dxa"/>
            <w:tcBorders>
              <w:bottom w:val="single" w:sz="8" w:space="0" w:color="000000"/>
              <w:right w:val="single" w:sz="8" w:space="0" w:color="000000"/>
            </w:tcBorders>
            <w:tcMar>
              <w:top w:w="0" w:type="dxa"/>
              <w:left w:w="0" w:type="dxa"/>
              <w:bottom w:w="280" w:type="dxa"/>
              <w:right w:w="28" w:type="dxa"/>
            </w:tcMar>
            <w:vAlign w:val="center"/>
          </w:tcPr>
          <w:p>
            <w:pPr>
              <w:pStyle w:val="TableContents"/>
              <w:bidi w:val="0"/>
              <w:spacing w:before="0" w:after="283"/>
              <w:jc w:val="center"/>
              <w:rPr>
                <w:sz w:val="20"/>
              </w:rPr>
            </w:pPr>
            <w:r>
              <w:rPr>
                <w:sz w:val="20"/>
              </w:rPr>
              <w:t>X</w:t>
            </w:r>
          </w:p>
        </w:tc>
        <w:tc>
          <w:tcPr>
            <w:tcW w:w="680" w:type="dxa"/>
            <w:tcBorders>
              <w:bottom w:val="single" w:sz="8" w:space="0" w:color="000000"/>
              <w:right w:val="single" w:sz="8" w:space="0" w:color="000000"/>
            </w:tcBorders>
            <w:tcMar>
              <w:top w:w="0" w:type="dxa"/>
              <w:left w:w="0" w:type="dxa"/>
              <w:bottom w:w="280" w:type="dxa"/>
              <w:right w:w="28" w:type="dxa"/>
            </w:tcMar>
            <w:vAlign w:val="center"/>
          </w:tcPr>
          <w:p>
            <w:pPr>
              <w:pStyle w:val="TableContents"/>
              <w:bidi w:val="0"/>
              <w:spacing w:before="0" w:after="283"/>
              <w:jc w:val="center"/>
              <w:rPr>
                <w:sz w:val="20"/>
              </w:rPr>
            </w:pPr>
            <w:r>
              <w:rPr>
                <w:sz w:val="20"/>
              </w:rPr>
              <w:t>X</w:t>
            </w:r>
          </w:p>
        </w:tc>
        <w:tc>
          <w:tcPr>
            <w:tcW w:w="1430" w:type="dxa"/>
            <w:tcBorders>
              <w:bottom w:val="single" w:sz="8" w:space="0" w:color="000000"/>
              <w:right w:val="single" w:sz="8" w:space="0" w:color="000000"/>
            </w:tcBorders>
            <w:tcMar>
              <w:top w:w="0" w:type="dxa"/>
              <w:left w:w="0" w:type="dxa"/>
              <w:bottom w:w="145" w:type="dxa"/>
              <w:right w:w="28" w:type="dxa"/>
            </w:tcMar>
            <w:vAlign w:val="center"/>
          </w:tcPr>
          <w:p>
            <w:pPr>
              <w:pStyle w:val="TableContents"/>
              <w:bidi w:val="0"/>
              <w:spacing w:before="0" w:after="283"/>
              <w:jc w:val="center"/>
              <w:rPr>
                <w:sz w:val="20"/>
              </w:rPr>
            </w:pPr>
            <w:r>
              <w:rPr>
                <w:sz w:val="20"/>
              </w:rPr>
              <w:t xml:space="preserve">As agreed by the </w:t>
              <w:br/>
              <w:t>parties</w:t>
            </w:r>
          </w:p>
        </w:tc>
      </w:tr>
    </w:tbl>
    <w:p>
      <w:pPr>
        <w:pStyle w:val="TextBody"/>
        <w:bidi w:val="0"/>
        <w:ind w:left="2592" w:right="144" w:hanging="0"/>
        <w:jc w:val="both"/>
        <w:rPr>
          <w:sz w:val="20"/>
        </w:rPr>
      </w:pPr>
      <w:r>
        <w:rPr>
          <w:sz w:val="20"/>
        </w:rPr>
        <w:t>where “</w:t>
      </w:r>
      <w:r>
        <w:rPr>
          <w:b/>
          <w:i/>
          <w:sz w:val="20"/>
        </w:rPr>
        <w:t>Underlying Asset</w:t>
      </w:r>
      <w:r>
        <w:rPr>
          <w:sz w:val="20"/>
        </w:rPr>
        <w:t>” means, with respect to a Transaction, the asset specified in the Confirmation to which the Transaction relates. For the sake of clarity, the Valuation Percentage applicable to the Underlying Asset will apply to such Underlying Asset even if it is also another Eligible Credit Support (with a different specified Valuation Percentage).</w:t>
      </w:r>
    </w:p>
    <w:p>
      <w:pPr>
        <w:pStyle w:val="TextBody"/>
        <w:bidi w:val="0"/>
        <w:ind w:left="2592" w:right="144"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1578" w:type="dxa"/>
        <w:jc w:val="left"/>
        <w:tblInd w:w="0" w:type="dxa"/>
        <w:tblLayout w:type="fixed"/>
        <w:tblCellMar>
          <w:top w:w="0" w:type="dxa"/>
          <w:left w:w="0" w:type="dxa"/>
          <w:bottom w:w="0" w:type="dxa"/>
          <w:right w:w="0" w:type="dxa"/>
        </w:tblCellMar>
      </w:tblPr>
      <w:tblGrid>
        <w:gridCol w:w="38"/>
        <w:gridCol w:w="350"/>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b/>
                <w:i/>
              </w:rPr>
            </w:pPr>
            <w:r>
              <w:rPr>
                <w:b/>
                <w:i/>
              </w:rPr>
              <w:t>(iii)</w:t>
            </w:r>
          </w:p>
        </w:tc>
        <w:tc>
          <w:tcPr>
            <w:tcW w:w="1190" w:type="dxa"/>
            <w:tcBorders/>
            <w:vAlign w:val="center"/>
          </w:tcPr>
          <w:p>
            <w:pPr>
              <w:pStyle w:val="TableContents"/>
              <w:bidi w:val="0"/>
              <w:spacing w:before="0" w:after="283"/>
              <w:jc w:val="left"/>
              <w:rPr>
                <w:b/>
                <w:i/>
              </w:rPr>
            </w:pPr>
            <w:r>
              <w:rPr>
                <w:b/>
                <w:i/>
              </w:rPr>
              <w:t>Thresholds.</w:t>
            </w:r>
          </w:p>
        </w:tc>
      </w:tr>
    </w:tbl>
    <w:p>
      <w:pPr>
        <w:pStyle w:val="TextBody"/>
        <w:bidi w:val="0"/>
        <w:spacing w:before="247" w:after="247"/>
        <w:ind w:left="2664" w:right="247" w:hanging="0"/>
        <w:jc w:val="left"/>
        <w:rPr>
          <w:sz w:val="20"/>
        </w:rPr>
      </w:pPr>
      <w:r>
        <w:rPr>
          <w:sz w:val="20"/>
        </w:rPr>
        <w:t>(A)       “</w:t>
      </w:r>
      <w:r>
        <w:rPr>
          <w:b/>
          <w:i/>
          <w:sz w:val="20"/>
        </w:rPr>
        <w:t>Independent Amount</w:t>
      </w:r>
      <w:r>
        <w:rPr>
          <w:sz w:val="20"/>
        </w:rPr>
        <w:t>” means:</w:t>
      </w:r>
    </w:p>
    <w:p>
      <w:pPr>
        <w:pStyle w:val="TextBody"/>
        <w:bidi w:val="0"/>
        <w:spacing w:before="243" w:after="243"/>
        <w:ind w:left="4104" w:right="243" w:hanging="720"/>
        <w:jc w:val="left"/>
        <w:rPr>
          <w:sz w:val="20"/>
        </w:rPr>
      </w:pPr>
      <w:r>
        <w:rPr>
          <w:sz w:val="20"/>
        </w:rPr>
        <w:t>(1)           with respect to Party A:</w:t>
        <w:tab/>
        <w:t>not applicable; and,</w:t>
      </w:r>
    </w:p>
    <w:tbl>
      <w:tblPr>
        <w:tblW w:w="5000" w:type="pct"/>
        <w:jc w:val="left"/>
        <w:tblInd w:w="0" w:type="dxa"/>
        <w:tblLayout w:type="fixed"/>
        <w:tblCellMar>
          <w:top w:w="0" w:type="dxa"/>
          <w:left w:w="0" w:type="dxa"/>
          <w:bottom w:w="0" w:type="dxa"/>
          <w:right w:w="0" w:type="dxa"/>
        </w:tblCellMar>
      </w:tblPr>
      <w:tblGrid>
        <w:gridCol w:w="55"/>
        <w:gridCol w:w="422"/>
        <w:gridCol w:w="9728"/>
      </w:tblGrid>
      <w:tr>
        <w:trPr/>
        <w:tc>
          <w:tcPr>
            <w:tcW w:w="5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pPr>
            <w:r>
              <w:rPr/>
              <w:t>(2)</w:t>
            </w:r>
          </w:p>
        </w:tc>
        <w:tc>
          <w:tcPr>
            <w:tcW w:w="9728" w:type="dxa"/>
            <w:tcBorders/>
            <w:vAlign w:val="center"/>
          </w:tcPr>
          <w:p>
            <w:pPr>
              <w:pStyle w:val="TableContents"/>
              <w:bidi w:val="0"/>
              <w:spacing w:before="0" w:after="283"/>
              <w:jc w:val="both"/>
              <w:rPr/>
            </w:pPr>
            <w:r>
              <w:rPr/>
              <w:t>with respect to Party B:</w:t>
              <w:tab/>
              <w:t>not applicable unless otherwise specified in the</w:t>
              <w:br/>
              <w:t>relevant Confirmation.</w:t>
            </w:r>
          </w:p>
        </w:tc>
      </w:tr>
    </w:tbl>
    <w:p>
      <w:pPr>
        <w:pStyle w:val="TextBody"/>
        <w:bidi w:val="0"/>
        <w:spacing w:before="250" w:after="250"/>
        <w:ind w:left="2664" w:right="250" w:hanging="0"/>
        <w:jc w:val="left"/>
        <w:rPr>
          <w:sz w:val="20"/>
        </w:rPr>
      </w:pPr>
      <w:r>
        <w:rPr>
          <w:sz w:val="20"/>
        </w:rPr>
        <w:t>(B)       “</w:t>
      </w:r>
      <w:r>
        <w:rPr>
          <w:b/>
          <w:i/>
          <w:sz w:val="20"/>
        </w:rPr>
        <w:t>Threshold</w:t>
      </w:r>
      <w:r>
        <w:rPr>
          <w:sz w:val="20"/>
        </w:rPr>
        <w:t>” means:</w:t>
      </w:r>
    </w:p>
    <w:tbl>
      <w:tblPr>
        <w:tblW w:w="5000" w:type="pct"/>
        <w:jc w:val="left"/>
        <w:tblInd w:w="0" w:type="dxa"/>
        <w:tblLayout w:type="fixed"/>
        <w:tblCellMar>
          <w:top w:w="0" w:type="dxa"/>
          <w:left w:w="0" w:type="dxa"/>
          <w:bottom w:w="0" w:type="dxa"/>
          <w:right w:w="0" w:type="dxa"/>
        </w:tblCellMar>
      </w:tblPr>
      <w:tblGrid>
        <w:gridCol w:w="53"/>
        <w:gridCol w:w="412"/>
        <w:gridCol w:w="9740"/>
      </w:tblGrid>
      <w:tr>
        <w:trPr/>
        <w:tc>
          <w:tcPr>
            <w:tcW w:w="5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pPr>
            <w:r>
              <w:rPr/>
              <w:t>(1)</w:t>
            </w:r>
          </w:p>
        </w:tc>
        <w:tc>
          <w:tcPr>
            <w:tcW w:w="9740" w:type="dxa"/>
            <w:tcBorders/>
            <w:vAlign w:val="center"/>
          </w:tcPr>
          <w:p>
            <w:pPr>
              <w:pStyle w:val="TableContents"/>
              <w:bidi w:val="0"/>
              <w:spacing w:before="0" w:after="283"/>
              <w:jc w:val="both"/>
              <w:rPr/>
            </w:pPr>
            <w:r>
              <w:rPr/>
              <w:t>with respect to Party A:</w:t>
              <w:tab/>
              <w:t>infinity unless specified otherwise in the relevant</w:t>
              <w:br/>
              <w:t>Confirmation; and,</w:t>
            </w:r>
          </w:p>
        </w:tc>
      </w:tr>
    </w:tbl>
    <w:tbl>
      <w:tblPr>
        <w:tblW w:w="5000" w:type="pct"/>
        <w:jc w:val="left"/>
        <w:tblInd w:w="0" w:type="dxa"/>
        <w:tblLayout w:type="fixed"/>
        <w:tblCellMar>
          <w:top w:w="0" w:type="dxa"/>
          <w:left w:w="0" w:type="dxa"/>
          <w:bottom w:w="0" w:type="dxa"/>
          <w:right w:w="0" w:type="dxa"/>
        </w:tblCellMar>
      </w:tblPr>
      <w:tblGrid>
        <w:gridCol w:w="56"/>
        <w:gridCol w:w="428"/>
        <w:gridCol w:w="9721"/>
      </w:tblGrid>
      <w:tr>
        <w:trPr/>
        <w:tc>
          <w:tcPr>
            <w:tcW w:w="5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pPr>
            <w:r>
              <w:rPr/>
              <w:t>(2)</w:t>
            </w:r>
          </w:p>
        </w:tc>
        <w:tc>
          <w:tcPr>
            <w:tcW w:w="9721" w:type="dxa"/>
            <w:tcBorders/>
            <w:vAlign w:val="center"/>
          </w:tcPr>
          <w:p>
            <w:pPr>
              <w:pStyle w:val="TableContents"/>
              <w:bidi w:val="0"/>
              <w:spacing w:before="0" w:after="283"/>
              <w:jc w:val="both"/>
              <w:rPr/>
            </w:pPr>
            <w:r>
              <w:rPr/>
              <w:t>with respect to Party B:</w:t>
              <w:tab/>
              <w:t>zero unless specified otherwise in the relevant</w:t>
              <w:br/>
              <w:t>Confirmation,</w:t>
            </w:r>
          </w:p>
        </w:tc>
      </w:tr>
    </w:tbl>
    <w:p>
      <w:pPr>
        <w:pStyle w:val="TextBody"/>
        <w:bidi w:val="0"/>
        <w:spacing w:before="200" w:after="200"/>
        <w:ind w:left="3384" w:right="72" w:hanging="0"/>
        <w:jc w:val="both"/>
        <w:rPr>
          <w:sz w:val="20"/>
        </w:rPr>
      </w:pPr>
      <w:r>
        <w:rPr>
          <w:i/>
          <w:sz w:val="20"/>
        </w:rPr>
        <w:t>provided</w:t>
      </w:r>
      <w:r>
        <w:rPr>
          <w:sz w:val="20"/>
        </w:rPr>
        <w:t xml:space="preserve">, </w:t>
      </w:r>
      <w:r>
        <w:rPr>
          <w:i/>
          <w:sz w:val="20"/>
        </w:rPr>
        <w:t>however</w:t>
      </w:r>
      <w:r>
        <w:rPr>
          <w:sz w:val="20"/>
        </w:rPr>
        <w:t>, that, if an Event of Default, Potential Event of Default or Additional Termination Event with respect to a party has occurred and is continuing, the Threshold with respect to such party shall be zero.</w:t>
      </w:r>
    </w:p>
    <w:p>
      <w:pPr>
        <w:pStyle w:val="TextBody"/>
        <w:bidi w:val="0"/>
        <w:spacing w:before="245" w:after="245"/>
        <w:ind w:left="2664" w:right="245" w:hanging="0"/>
        <w:jc w:val="left"/>
        <w:rPr>
          <w:sz w:val="20"/>
        </w:rPr>
      </w:pPr>
      <w:r>
        <w:rPr>
          <w:sz w:val="20"/>
        </w:rPr>
        <w:t>(C)       “</w:t>
      </w:r>
      <w:r>
        <w:rPr>
          <w:b/>
          <w:i/>
          <w:sz w:val="20"/>
        </w:rPr>
        <w:t>Minimum Transfer Amount</w:t>
      </w:r>
      <w:r>
        <w:rPr>
          <w:sz w:val="20"/>
        </w:rPr>
        <w:t>” means:</w:t>
      </w:r>
    </w:p>
    <w:tbl>
      <w:tblPr>
        <w:tblW w:w="5000" w:type="pct"/>
        <w:jc w:val="left"/>
        <w:tblInd w:w="0" w:type="dxa"/>
        <w:tblLayout w:type="fixed"/>
        <w:tblCellMar>
          <w:top w:w="0" w:type="dxa"/>
          <w:left w:w="0" w:type="dxa"/>
          <w:bottom w:w="0" w:type="dxa"/>
          <w:right w:w="0" w:type="dxa"/>
        </w:tblCellMar>
      </w:tblPr>
      <w:tblGrid>
        <w:gridCol w:w="88"/>
        <w:gridCol w:w="673"/>
        <w:gridCol w:w="9444"/>
      </w:tblGrid>
      <w:tr>
        <w:trPr/>
        <w:tc>
          <w:tcPr>
            <w:tcW w:w="8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pPr>
            <w:r>
              <w:rPr/>
              <w:t>(1)</w:t>
            </w:r>
          </w:p>
        </w:tc>
        <w:tc>
          <w:tcPr>
            <w:tcW w:w="9444" w:type="dxa"/>
            <w:tcBorders/>
            <w:vAlign w:val="center"/>
          </w:tcPr>
          <w:p>
            <w:pPr>
              <w:pStyle w:val="TableContents"/>
              <w:bidi w:val="0"/>
              <w:spacing w:before="0" w:after="283"/>
              <w:jc w:val="left"/>
              <w:rPr/>
            </w:pPr>
            <w:r>
              <w:rPr/>
              <w:t>with respect to Party A: US$100,000; and,</w:t>
            </w:r>
          </w:p>
        </w:tc>
      </w:tr>
    </w:tbl>
    <w:tbl>
      <w:tblPr>
        <w:tblW w:w="5000" w:type="pct"/>
        <w:jc w:val="left"/>
        <w:tblInd w:w="0" w:type="dxa"/>
        <w:tblLayout w:type="fixed"/>
        <w:tblCellMar>
          <w:top w:w="0" w:type="dxa"/>
          <w:left w:w="0" w:type="dxa"/>
          <w:bottom w:w="0" w:type="dxa"/>
          <w:right w:w="0" w:type="dxa"/>
        </w:tblCellMar>
      </w:tblPr>
      <w:tblGrid>
        <w:gridCol w:w="56"/>
        <w:gridCol w:w="428"/>
        <w:gridCol w:w="9721"/>
      </w:tblGrid>
      <w:tr>
        <w:trPr/>
        <w:tc>
          <w:tcPr>
            <w:tcW w:w="5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pPr>
            <w:r>
              <w:rPr/>
              <w:t>(2)</w:t>
            </w:r>
          </w:p>
        </w:tc>
        <w:tc>
          <w:tcPr>
            <w:tcW w:w="9721" w:type="dxa"/>
            <w:tcBorders/>
            <w:vAlign w:val="center"/>
          </w:tcPr>
          <w:p>
            <w:pPr>
              <w:pStyle w:val="TableContents"/>
              <w:bidi w:val="0"/>
              <w:spacing w:before="0" w:after="283"/>
              <w:jc w:val="both"/>
              <w:rPr/>
            </w:pPr>
            <w:r>
              <w:rPr/>
              <w:t>with respect to Party B:</w:t>
              <w:tab/>
              <w:t>zero unless specified otherwise in the relevant</w:t>
              <w:br/>
              <w:t>Confirmation,</w:t>
            </w:r>
          </w:p>
        </w:tc>
      </w:tr>
    </w:tbl>
    <w:p>
      <w:pPr>
        <w:pStyle w:val="TextBody"/>
        <w:bidi w:val="0"/>
        <w:spacing w:before="198" w:after="198"/>
        <w:ind w:left="3384" w:right="72" w:hanging="0"/>
        <w:jc w:val="both"/>
        <w:rPr>
          <w:sz w:val="20"/>
        </w:rPr>
      </w:pPr>
      <w:r>
        <w:rPr>
          <w:i/>
          <w:sz w:val="20"/>
        </w:rPr>
        <w:t>provided</w:t>
      </w:r>
      <w:r>
        <w:rPr>
          <w:sz w:val="20"/>
        </w:rPr>
        <w:t xml:space="preserve">, </w:t>
      </w:r>
      <w:r>
        <w:rPr>
          <w:i/>
          <w:sz w:val="20"/>
        </w:rPr>
        <w:t xml:space="preserve">however, </w:t>
      </w:r>
      <w:r>
        <w:rPr>
          <w:sz w:val="20"/>
        </w:rPr>
        <w:t>that, if an Event of Default, Potential Event of Default or Additional Termination Event (where all Transactions are Affected Transactions) with respect to a party has occurred and is continuing, the Minimum Transfer Amount with respect to such party shall be zero.</w:t>
      </w:r>
    </w:p>
    <w:p>
      <w:pPr>
        <w:pStyle w:val="TextBody"/>
        <w:bidi w:val="0"/>
        <w:spacing w:before="246" w:after="246"/>
        <w:ind w:left="2664" w:right="246" w:hanging="0"/>
        <w:jc w:val="left"/>
        <w:rPr>
          <w:sz w:val="20"/>
        </w:rPr>
      </w:pPr>
      <w:r>
        <w:rPr>
          <w:sz w:val="20"/>
        </w:rPr>
        <w:t>(D)       </w:t>
      </w:r>
      <w:r>
        <w:rPr>
          <w:b/>
          <w:i/>
          <w:sz w:val="20"/>
        </w:rPr>
        <w:t xml:space="preserve">Rounding. </w:t>
      </w:r>
      <w:r>
        <w:rPr>
          <w:sz w:val="20"/>
        </w:rPr>
        <w:t>The Delivery Amount and the Return Amount will be rounded up and down,</w:t>
      </w:r>
    </w:p>
    <w:p>
      <w:pPr>
        <w:pStyle w:val="TextBody"/>
        <w:bidi w:val="0"/>
        <w:spacing w:before="40" w:after="40"/>
        <w:ind w:left="3384" w:right="40" w:hanging="0"/>
        <w:jc w:val="left"/>
        <w:rPr>
          <w:sz w:val="20"/>
        </w:rPr>
      </w:pPr>
      <w:r>
        <w:rPr>
          <w:sz w:val="20"/>
        </w:rPr>
        <w:t>respectively, to the nearest integral multiple of US$10,000.</w:t>
      </w:r>
    </w:p>
    <w:p>
      <w:pPr>
        <w:pStyle w:val="TextBody"/>
        <w:bidi w:val="0"/>
        <w:spacing w:before="246" w:after="246"/>
        <w:ind w:left="1152" w:right="246" w:hanging="0"/>
        <w:jc w:val="left"/>
        <w:rPr>
          <w:sz w:val="20"/>
        </w:rPr>
      </w:pPr>
      <w:r>
        <w:rPr>
          <w:sz w:val="20"/>
        </w:rPr>
        <w:t>(c)       </w:t>
      </w:r>
      <w:r>
        <w:rPr>
          <w:b/>
          <w:i/>
          <w:sz w:val="20"/>
        </w:rPr>
        <w:t>Transfers, Valuation and Timing.</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b/>
                <w:i/>
              </w:rPr>
            </w:pPr>
            <w:r>
              <w:rPr>
                <w:b/>
                <w:i/>
              </w:rPr>
              <w:t>(i)</w:t>
            </w:r>
          </w:p>
        </w:tc>
        <w:tc>
          <w:tcPr>
            <w:tcW w:w="9982" w:type="dxa"/>
            <w:tcBorders/>
            <w:vAlign w:val="center"/>
          </w:tcPr>
          <w:p>
            <w:pPr>
              <w:pStyle w:val="TableContents"/>
              <w:bidi w:val="0"/>
              <w:spacing w:before="0" w:after="283"/>
              <w:jc w:val="both"/>
              <w:rPr/>
            </w:pPr>
            <w:r>
              <w:rPr>
                <w:b/>
                <w:i/>
              </w:rPr>
              <w:t xml:space="preserve">Transfers. </w:t>
            </w:r>
            <w:r>
              <w:rPr/>
              <w:t>Transfers shall be made in accordance with Paragraph 3(a) (</w:t>
            </w:r>
            <w:r>
              <w:rPr>
                <w:i/>
              </w:rPr>
              <w:t>Transfers</w:t>
            </w:r>
            <w:r>
              <w:rPr/>
              <w:t>) of this Annex and in addition, in relation to a Crypto Asset, shall be paid or delivered into one or more digital currency wallets specified by the recipient.</w:t>
            </w:r>
          </w:p>
        </w:tc>
      </w:tr>
    </w:tbl>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b/>
                <w:i/>
              </w:rPr>
            </w:pPr>
            <w:r>
              <w:rPr>
                <w:b/>
                <w:i/>
              </w:rPr>
              <w:t>(ii)</w:t>
            </w:r>
          </w:p>
        </w:tc>
        <w:tc>
          <w:tcPr>
            <w:tcW w:w="9945" w:type="dxa"/>
            <w:tcBorders/>
            <w:vAlign w:val="center"/>
          </w:tcPr>
          <w:p>
            <w:pPr>
              <w:pStyle w:val="TableContents"/>
              <w:bidi w:val="0"/>
              <w:spacing w:before="0" w:after="283"/>
              <w:jc w:val="both"/>
              <w:rPr/>
            </w:pPr>
            <w:r>
              <w:rPr/>
              <w:t>“</w:t>
            </w:r>
            <w:r>
              <w:rPr>
                <w:b/>
                <w:i/>
              </w:rPr>
              <w:t>Valuation Agent</w:t>
            </w:r>
            <w:r>
              <w:rPr/>
              <w:t>” means Party A, unless an Event of Default or a Termination Event occurs and is continuing in respect of which Party A is the Defaulting Party or the sole Affected Party, respectively, in which case Party B shall be entitled to designate a leading market participant (acceptable to Party A) in the relevant market to act as substitute Valuation Agent. If the parties are unable to agree on a substitute Valuation Agent, the parties shall each appoint a leading market participant in the relevant market who shall together appoint a leading market participant to act as substitute Valuation Agent. Any determinations by the substitute Valuation Agent shall be binding absent manifest error. The cost of the substitute Valuation Agent shall be borne equally by the parties.</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5313" w:type="dxa"/>
        <w:jc w:val="left"/>
        <w:tblInd w:w="0" w:type="dxa"/>
        <w:tblLayout w:type="fixed"/>
        <w:tblCellMar>
          <w:top w:w="0" w:type="dxa"/>
          <w:left w:w="0" w:type="dxa"/>
          <w:bottom w:w="0" w:type="dxa"/>
          <w:right w:w="0" w:type="dxa"/>
        </w:tblCellMar>
      </w:tblPr>
      <w:tblGrid>
        <w:gridCol w:w="38"/>
        <w:gridCol w:w="35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b/>
                <w:i/>
              </w:rPr>
            </w:pPr>
            <w:r>
              <w:rPr>
                <w:b/>
                <w:i/>
              </w:rPr>
              <w:t>(iii)</w:t>
            </w:r>
          </w:p>
        </w:tc>
        <w:tc>
          <w:tcPr>
            <w:tcW w:w="4925" w:type="dxa"/>
            <w:tcBorders/>
            <w:vAlign w:val="center"/>
          </w:tcPr>
          <w:p>
            <w:pPr>
              <w:pStyle w:val="TableContents"/>
              <w:bidi w:val="0"/>
              <w:spacing w:before="0" w:after="283"/>
              <w:jc w:val="both"/>
              <w:rPr/>
            </w:pPr>
            <w:r>
              <w:rPr/>
              <w:t>“</w:t>
            </w:r>
            <w:r>
              <w:rPr>
                <w:b/>
                <w:i/>
              </w:rPr>
              <w:t>Valuation Date</w:t>
            </w:r>
            <w:r>
              <w:rPr/>
              <w:t>” means each Local Business Day.</w:t>
            </w:r>
          </w:p>
        </w:tc>
      </w:tr>
    </w:tbl>
    <w:tbl>
      <w:tblPr>
        <w:tblW w:w="5000" w:type="pct"/>
        <w:jc w:val="left"/>
        <w:tblInd w:w="0" w:type="dxa"/>
        <w:tblLayout w:type="fixed"/>
        <w:tblCellMar>
          <w:top w:w="0" w:type="dxa"/>
          <w:left w:w="0" w:type="dxa"/>
          <w:bottom w:w="0" w:type="dxa"/>
          <w:right w:w="0" w:type="dxa"/>
        </w:tblCellMar>
      </w:tblPr>
      <w:tblGrid>
        <w:gridCol w:w="37"/>
        <w:gridCol w:w="310"/>
        <w:gridCol w:w="9858"/>
      </w:tblGrid>
      <w:tr>
        <w:trPr/>
        <w:tc>
          <w:tcPr>
            <w:tcW w:w="3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b/>
                <w:i/>
              </w:rPr>
            </w:pPr>
            <w:r>
              <w:rPr>
                <w:b/>
                <w:i/>
              </w:rPr>
              <w:t>(iv)</w:t>
            </w:r>
          </w:p>
        </w:tc>
        <w:tc>
          <w:tcPr>
            <w:tcW w:w="9858" w:type="dxa"/>
            <w:tcBorders/>
            <w:vAlign w:val="center"/>
          </w:tcPr>
          <w:p>
            <w:pPr>
              <w:pStyle w:val="TableContents"/>
              <w:bidi w:val="0"/>
              <w:spacing w:before="0" w:after="283"/>
              <w:jc w:val="both"/>
              <w:rPr/>
            </w:pPr>
            <w:r>
              <w:rPr/>
              <w:t>“</w:t>
            </w:r>
            <w:r>
              <w:rPr>
                <w:b/>
                <w:i/>
              </w:rPr>
              <w:t>Valuation Time</w:t>
            </w:r>
            <w:r>
              <w:rPr/>
              <w:t>” means 8:00 a.m. UTC on the Local Business Day immediately preceding the Valuation Date or date of calculation, as applicable.</w:t>
            </w:r>
          </w:p>
        </w:tc>
      </w:tr>
    </w:tbl>
    <w:tbl>
      <w:tblPr>
        <w:tblW w:w="5000" w:type="pct"/>
        <w:jc w:val="left"/>
        <w:tblInd w:w="0" w:type="dxa"/>
        <w:tblLayout w:type="fixed"/>
        <w:tblCellMar>
          <w:top w:w="0" w:type="dxa"/>
          <w:left w:w="0" w:type="dxa"/>
          <w:bottom w:w="0" w:type="dxa"/>
          <w:right w:w="0" w:type="dxa"/>
        </w:tblCellMar>
      </w:tblPr>
      <w:tblGrid>
        <w:gridCol w:w="54"/>
        <w:gridCol w:w="399"/>
        <w:gridCol w:w="9752"/>
      </w:tblGrid>
      <w:tr>
        <w:trPr/>
        <w:tc>
          <w:tcPr>
            <w:tcW w:w="5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b/>
                <w:i/>
              </w:rPr>
            </w:pPr>
            <w:r>
              <w:rPr>
                <w:b/>
                <w:i/>
              </w:rPr>
              <w:t>(v)</w:t>
            </w:r>
          </w:p>
        </w:tc>
        <w:tc>
          <w:tcPr>
            <w:tcW w:w="9752" w:type="dxa"/>
            <w:tcBorders/>
            <w:vAlign w:val="center"/>
          </w:tcPr>
          <w:p>
            <w:pPr>
              <w:pStyle w:val="TableContents"/>
              <w:bidi w:val="0"/>
              <w:spacing w:before="0" w:after="283"/>
              <w:jc w:val="both"/>
              <w:rPr/>
            </w:pPr>
            <w:r>
              <w:rPr/>
              <w:t>“</w:t>
            </w:r>
            <w:r>
              <w:rPr>
                <w:b/>
                <w:i/>
              </w:rPr>
              <w:t>Notification Time</w:t>
            </w:r>
            <w:r>
              <w:rPr/>
              <w:t>” means 10:00 a.m. UTC on a Local Business Day.</w:t>
            </w:r>
          </w:p>
        </w:tc>
      </w:tr>
    </w:tbl>
    <w:tbl>
      <w:tblPr>
        <w:tblW w:w="5000" w:type="pct"/>
        <w:jc w:val="left"/>
        <w:tblInd w:w="0" w:type="dxa"/>
        <w:tblLayout w:type="fixed"/>
        <w:tblCellMar>
          <w:top w:w="0" w:type="dxa"/>
          <w:left w:w="0" w:type="dxa"/>
          <w:bottom w:w="0" w:type="dxa"/>
          <w:right w:w="0" w:type="dxa"/>
        </w:tblCellMar>
      </w:tblPr>
      <w:tblGrid>
        <w:gridCol w:w="37"/>
        <w:gridCol w:w="329"/>
        <w:gridCol w:w="9839"/>
      </w:tblGrid>
      <w:tr>
        <w:trPr/>
        <w:tc>
          <w:tcPr>
            <w:tcW w:w="3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b/>
                <w:i/>
              </w:rPr>
            </w:pPr>
            <w:r>
              <w:rPr>
                <w:b/>
                <w:i/>
              </w:rPr>
              <w:t>(vi)</w:t>
            </w:r>
          </w:p>
        </w:tc>
        <w:tc>
          <w:tcPr>
            <w:tcW w:w="9839" w:type="dxa"/>
            <w:tcBorders/>
            <w:vAlign w:val="center"/>
          </w:tcPr>
          <w:p>
            <w:pPr>
              <w:pStyle w:val="TableContents"/>
              <w:bidi w:val="0"/>
              <w:spacing w:before="0" w:after="283"/>
              <w:jc w:val="both"/>
              <w:rPr/>
            </w:pPr>
            <w:r>
              <w:rPr>
                <w:b/>
                <w:i/>
              </w:rPr>
              <w:t>Transfer Timing</w:t>
            </w:r>
            <w:r>
              <w:rPr/>
              <w:t>. The last paragraph of Paragraph 3(a) (Transfers) of this Annex is amended to read as follows:</w:t>
            </w:r>
          </w:p>
        </w:tc>
      </w:tr>
    </w:tbl>
    <w:p>
      <w:pPr>
        <w:pStyle w:val="TextBody"/>
        <w:bidi w:val="0"/>
        <w:spacing w:before="205" w:after="205"/>
        <w:ind w:left="2664" w:right="72" w:hanging="0"/>
        <w:jc w:val="both"/>
        <w:rPr/>
      </w:pPr>
      <w:r>
        <w:rPr/>
        <w:t>“</w:t>
      </w:r>
      <w:r>
        <w:rPr>
          <w:sz w:val="20"/>
        </w:rPr>
        <w:t>Subject to Paragraph 4 and unless otherwise specified, if a demand for the transfer of Eligible Credit Support or Equivalent Credit Support is received by the Notification Time, then the relevant transfer will be made not later than 4:00 p.m. UTC on the day such demand is received; if a demand is received after the Notification Time, then the relevant transfer will be made not later than 4:00 p.m. UTC on the Settlement Day relating to the day such demand is received.”</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b/>
                <w:i/>
              </w:rPr>
            </w:pPr>
            <w:r>
              <w:rPr>
                <w:b/>
                <w:i/>
              </w:rPr>
              <w:t>(d)</w:t>
            </w:r>
          </w:p>
        </w:tc>
        <w:tc>
          <w:tcPr>
            <w:tcW w:w="9884" w:type="dxa"/>
            <w:tcBorders/>
            <w:vAlign w:val="center"/>
          </w:tcPr>
          <w:p>
            <w:pPr>
              <w:pStyle w:val="TableContents"/>
              <w:bidi w:val="0"/>
              <w:spacing w:before="0" w:after="283"/>
              <w:jc w:val="both"/>
              <w:rPr/>
            </w:pPr>
            <w:r>
              <w:rPr>
                <w:b/>
                <w:i/>
              </w:rPr>
              <w:t xml:space="preserve">Exchange Date. </w:t>
            </w:r>
            <w:r>
              <w:rPr/>
              <w:t>“</w:t>
            </w:r>
            <w:r>
              <w:rPr>
                <w:b/>
                <w:i/>
              </w:rPr>
              <w:t>Exchange Date</w:t>
            </w:r>
            <w:r>
              <w:rPr/>
              <w:t>” has the meaning specified in Paragraph 3(c)(ii) (</w:t>
            </w:r>
            <w:r>
              <w:rPr>
                <w:i/>
              </w:rPr>
              <w:t>Exchanges</w:t>
            </w:r>
            <w:r>
              <w:rPr/>
              <w:t>) of this Annex.</w:t>
            </w:r>
          </w:p>
        </w:tc>
      </w:tr>
    </w:tbl>
    <w:tbl>
      <w:tblPr>
        <w:tblW w:w="5000" w:type="pct"/>
        <w:jc w:val="left"/>
        <w:tblInd w:w="0" w:type="dxa"/>
        <w:tblLayout w:type="fixed"/>
        <w:tblCellMar>
          <w:top w:w="0" w:type="dxa"/>
          <w:left w:w="0" w:type="dxa"/>
          <w:bottom w:w="0" w:type="dxa"/>
          <w:right w:w="0" w:type="dxa"/>
        </w:tblCellMar>
      </w:tblPr>
      <w:tblGrid>
        <w:gridCol w:w="170"/>
        <w:gridCol w:w="1238"/>
        <w:gridCol w:w="8797"/>
      </w:tblGrid>
      <w:tr>
        <w:trPr/>
        <w:tc>
          <w:tcPr>
            <w:tcW w:w="170"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b/>
                <w:i/>
              </w:rPr>
            </w:pPr>
            <w:r>
              <w:rPr>
                <w:b/>
                <w:i/>
              </w:rPr>
              <w:t>(e)</w:t>
            </w:r>
          </w:p>
        </w:tc>
        <w:tc>
          <w:tcPr>
            <w:tcW w:w="8797" w:type="dxa"/>
            <w:tcBorders/>
            <w:vAlign w:val="center"/>
          </w:tcPr>
          <w:p>
            <w:pPr>
              <w:pStyle w:val="TableContents"/>
              <w:bidi w:val="0"/>
              <w:spacing w:before="0" w:after="283"/>
              <w:jc w:val="both"/>
              <w:rPr>
                <w:b/>
                <w:i/>
              </w:rPr>
            </w:pPr>
            <w:r>
              <w:rPr>
                <w:b/>
                <w:i/>
              </w:rPr>
              <w:t>Dispute Resolution.</w:t>
            </w:r>
          </w:p>
        </w:tc>
      </w:tr>
    </w:tbl>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(i)</w:t>
            </w:r>
          </w:p>
        </w:tc>
        <w:tc>
          <w:tcPr>
            <w:tcW w:w="9991" w:type="dxa"/>
            <w:tcBorders/>
            <w:vAlign w:val="center"/>
          </w:tcPr>
          <w:p>
            <w:pPr>
              <w:pStyle w:val="TableContents"/>
              <w:bidi w:val="0"/>
              <w:spacing w:before="0" w:after="283"/>
              <w:jc w:val="both"/>
              <w:rPr/>
            </w:pPr>
            <w:r>
              <w:rPr/>
              <w:t>“</w:t>
            </w:r>
            <w:r>
              <w:rPr>
                <w:b/>
                <w:i/>
              </w:rPr>
              <w:t>Resolution Time</w:t>
            </w:r>
            <w:r>
              <w:rPr/>
              <w:t>” means 2:00 p.m. UTC on the Local Business Day on which the notice is given that gives rise to a dispute under Paragraph 4 (Dispute Resolution) of this Annex unless such notice is given after 10:00 a.m. UTC in which case “</w:t>
            </w:r>
            <w:r>
              <w:rPr>
                <w:b/>
                <w:i/>
              </w:rPr>
              <w:t>Resolution Time</w:t>
            </w:r>
            <w:r>
              <w:rPr/>
              <w:t>” means 11:00 a.m. UTC on the next Local Business Day.</w:t>
            </w:r>
          </w:p>
        </w:tc>
      </w:tr>
    </w:tbl>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b/>
                <w:i/>
              </w:rPr>
            </w:pPr>
            <w:r>
              <w:rPr>
                <w:b/>
                <w:i/>
              </w:rPr>
              <w:t>(ii)</w:t>
            </w:r>
          </w:p>
        </w:tc>
        <w:tc>
          <w:tcPr>
            <w:tcW w:w="9946" w:type="dxa"/>
            <w:tcBorders/>
            <w:vAlign w:val="center"/>
          </w:tcPr>
          <w:p>
            <w:pPr>
              <w:pStyle w:val="TableContents"/>
              <w:bidi w:val="0"/>
              <w:spacing w:before="0" w:after="283"/>
              <w:jc w:val="both"/>
              <w:rPr/>
            </w:pPr>
            <w:r>
              <w:rPr>
                <w:b/>
                <w:i/>
              </w:rPr>
              <w:t xml:space="preserve">Value. </w:t>
            </w:r>
            <w:r>
              <w:rPr/>
              <w:t>For the purpose of Paragraphs 4(a)(4)(i)(C) and 4(a)(4)(ii) (</w:t>
            </w:r>
            <w:r>
              <w:rPr>
                <w:i/>
              </w:rPr>
              <w:t>Disputed Calculations or Valuations</w:t>
            </w:r>
            <w:r>
              <w:rPr/>
              <w:t xml:space="preserve">) of this Annex, the Value of the outstanding Credit Support Balance or of any transfer of Eligible Credit Support or Equivalent Credit Support, as the case may be, will be calculated by the Valuation Agent in accordance with standard market practice using independent third-party sources (such as, by way of example only, Bloomberg, Reuters, </w:t>
            </w:r>
            <w:r>
              <w:rPr>
                <w:color w:val="000000"/>
              </w:rPr>
              <w:t>coinmarketcap.com or bitinfocharts.com)</w:t>
            </w:r>
            <w:r>
              <w:rPr/>
              <w:t xml:space="preserve"> where available, multiplied by the applicable Valuation Percentage. If no such observed prices are available, the Valuation Agent shall determine the Value of the outstanding Credit Support Balance or of any transfer of Eligible Credit Support or Equivalent Credit Support in its own discretion, acting in a commercially reasonable manner.</w:t>
            </w:r>
          </w:p>
        </w:tc>
      </w:tr>
    </w:tbl>
    <w:tbl>
      <w:tblPr>
        <w:tblW w:w="8898" w:type="dxa"/>
        <w:jc w:val="left"/>
        <w:tblInd w:w="0" w:type="dxa"/>
        <w:tblLayout w:type="fixed"/>
        <w:tblCellMar>
          <w:top w:w="0" w:type="dxa"/>
          <w:left w:w="0" w:type="dxa"/>
          <w:bottom w:w="0" w:type="dxa"/>
          <w:right w:w="0" w:type="dxa"/>
        </w:tblCellMar>
      </w:tblPr>
      <w:tblGrid>
        <w:gridCol w:w="38"/>
        <w:gridCol w:w="350"/>
        <w:gridCol w:w="851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b/>
                <w:i/>
              </w:rPr>
            </w:pPr>
            <w:r>
              <w:rPr>
                <w:b/>
                <w:i/>
              </w:rPr>
              <w:t>(iii)</w:t>
            </w:r>
          </w:p>
        </w:tc>
        <w:tc>
          <w:tcPr>
            <w:tcW w:w="8510" w:type="dxa"/>
            <w:tcBorders/>
            <w:vAlign w:val="center"/>
          </w:tcPr>
          <w:p>
            <w:pPr>
              <w:pStyle w:val="TableContents"/>
              <w:bidi w:val="0"/>
              <w:spacing w:before="0" w:after="283"/>
              <w:jc w:val="both"/>
              <w:rPr/>
            </w:pPr>
            <w:r>
              <w:rPr>
                <w:b/>
                <w:i/>
              </w:rPr>
              <w:t xml:space="preserve">Alternative. </w:t>
            </w:r>
            <w:r>
              <w:rPr/>
              <w:t>The provisions of Paragraph 4 (</w:t>
            </w:r>
            <w:r>
              <w:rPr>
                <w:i/>
              </w:rPr>
              <w:t>Dispute Resolution</w:t>
            </w:r>
            <w:r>
              <w:rPr/>
              <w:t>) of this Annex will apply.</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152" w:right="72" w:hanging="0"/>
        <w:jc w:val="left"/>
        <w:rPr>
          <w:sz w:val="20"/>
        </w:rPr>
      </w:pPr>
      <w:r>
        <w:rPr>
          <w:sz w:val="20"/>
        </w:rPr>
        <w:t>(f)       </w:t>
      </w:r>
      <w:r>
        <w:rPr>
          <w:b/>
          <w:i/>
          <w:sz w:val="20"/>
        </w:rPr>
        <w:t>Distributions and Interest Amount.</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(i)</w:t>
            </w:r>
          </w:p>
        </w:tc>
        <w:tc>
          <w:tcPr>
            <w:tcW w:w="9998" w:type="dxa"/>
            <w:tcBorders/>
            <w:vAlign w:val="center"/>
          </w:tcPr>
          <w:p>
            <w:pPr>
              <w:pStyle w:val="TableContents"/>
              <w:bidi w:val="0"/>
              <w:spacing w:before="0" w:after="283"/>
              <w:jc w:val="both"/>
              <w:rPr/>
            </w:pPr>
            <w:r>
              <w:rPr>
                <w:b/>
                <w:i/>
              </w:rPr>
              <w:t>Distributions</w:t>
            </w:r>
            <w:r>
              <w:rPr/>
              <w:t>. If any part of the outstanding Credit Support Balance is comprised of Crypto Assets and an Applicable Airdrop, or a Hard Fork in the relevant protocol, occurs with respect to such Crypto Assets, the Transferor will receive the benefit and ownership of any incremental tokens generated as a result of such Applicable Airdrop or Hard Fork that results in a second token (the “</w:t>
            </w:r>
            <w:r>
              <w:rPr>
                <w:b/>
                <w:i/>
              </w:rPr>
              <w:t>New Token</w:t>
            </w:r>
            <w:r>
              <w:rPr/>
              <w:t>”) being created if two (2) of the following four (4) conditions are met:</w:t>
            </w:r>
          </w:p>
        </w:tc>
      </w:tr>
    </w:tbl>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i/>
              </w:rPr>
            </w:pPr>
            <w:r>
              <w:rPr>
                <w:i/>
              </w:rPr>
              <w:t>(A)</w:t>
            </w:r>
          </w:p>
        </w:tc>
        <w:tc>
          <w:tcPr>
            <w:tcW w:w="9908" w:type="dxa"/>
            <w:tcBorders/>
            <w:vAlign w:val="center"/>
          </w:tcPr>
          <w:p>
            <w:pPr>
              <w:pStyle w:val="TableContents"/>
              <w:bidi w:val="0"/>
              <w:spacing w:before="0" w:after="283"/>
              <w:jc w:val="both"/>
              <w:rPr/>
            </w:pPr>
            <w:r>
              <w:rPr>
                <w:i/>
              </w:rPr>
              <w:t>Hash Power</w:t>
            </w:r>
            <w:r>
              <w:rPr/>
              <w:t>: the average hash power mining the New Token on the 30th day following the occurrence of the Applicable Airdrop or Hard Fork (calculated as a 30-day average on such date) is at least 5% of the hash power mining the outstanding Credit Support Balance comprised of such Crypto Assets on the day preceding the Applicable Airdrop or Hard Fork (calculated as a 30-day average of the 30 days preceding the Applicable Airdrop or Hard Fork).</w:t>
            </w:r>
          </w:p>
        </w:tc>
      </w:tr>
    </w:tbl>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i/>
              </w:rPr>
            </w:pPr>
            <w:r>
              <w:rPr>
                <w:i/>
              </w:rPr>
              <w:t>(B)</w:t>
            </w:r>
          </w:p>
        </w:tc>
        <w:tc>
          <w:tcPr>
            <w:tcW w:w="9910" w:type="dxa"/>
            <w:tcBorders/>
            <w:vAlign w:val="center"/>
          </w:tcPr>
          <w:p>
            <w:pPr>
              <w:pStyle w:val="TableContents"/>
              <w:bidi w:val="0"/>
              <w:spacing w:before="0" w:after="283"/>
              <w:jc w:val="both"/>
              <w:rPr/>
            </w:pPr>
            <w:r>
              <w:rPr>
                <w:i/>
              </w:rPr>
              <w:t>Market Capitalization</w:t>
            </w:r>
            <w:r>
              <w:rPr/>
              <w:t>: the average market capitalization of the New Token (defined as the total value of all New Tokens) on the 30th day following the occurrence the Applicable Airdrop or Hard Fork (calculated as a 30-day average on such date) is at least 5% of the average market capitalization of the outstanding Credit Support Balance comprised of such Crypto Assets (defined as the total value of the outstanding Credit Support Balance comprised of such Crypto Assets) (calculated as a 30-day average on such date).</w:t>
            </w:r>
          </w:p>
        </w:tc>
      </w:tr>
    </w:tbl>
    <w:tbl>
      <w:tblPr>
        <w:tblW w:w="5000" w:type="pct"/>
        <w:jc w:val="left"/>
        <w:tblInd w:w="0" w:type="dxa"/>
        <w:tblLayout w:type="fixed"/>
        <w:tblCellMar>
          <w:top w:w="0" w:type="dxa"/>
          <w:left w:w="0" w:type="dxa"/>
          <w:bottom w:w="0" w:type="dxa"/>
          <w:right w:w="0" w:type="dxa"/>
        </w:tblCellMar>
      </w:tblPr>
      <w:tblGrid>
        <w:gridCol w:w="37"/>
        <w:gridCol w:w="278"/>
        <w:gridCol w:w="9890"/>
      </w:tblGrid>
      <w:tr>
        <w:trPr/>
        <w:tc>
          <w:tcPr>
            <w:tcW w:w="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i/>
              </w:rPr>
            </w:pPr>
            <w:r>
              <w:rPr>
                <w:i/>
              </w:rPr>
              <w:t>(C)</w:t>
            </w:r>
          </w:p>
        </w:tc>
        <w:tc>
          <w:tcPr>
            <w:tcW w:w="9890" w:type="dxa"/>
            <w:tcBorders/>
            <w:vAlign w:val="center"/>
          </w:tcPr>
          <w:p>
            <w:pPr>
              <w:pStyle w:val="TableContents"/>
              <w:bidi w:val="0"/>
              <w:spacing w:before="0" w:after="283"/>
              <w:jc w:val="both"/>
              <w:rPr/>
            </w:pPr>
            <w:r>
              <w:rPr>
                <w:i/>
              </w:rPr>
              <w:t>24-Hour Trading Volume</w:t>
            </w:r>
            <w:r>
              <w:rPr/>
              <w:t>: the average 24-hour trading volume of the New Token on the 30th day following the occurrence the Applicable Airdrop or Hard Fork (calculated as a 30-day average on such date) is at least 1% of the average 24-hour trading volume of the outstanding Credit Support Balance comprised of such Crypto Assets (calculated as a 30-day average on such date).</w:t>
            </w:r>
          </w:p>
        </w:tc>
      </w:tr>
    </w:tbl>
    <w:tbl>
      <w:tblPr>
        <w:tblW w:w="5000" w:type="pct"/>
        <w:jc w:val="left"/>
        <w:tblInd w:w="0" w:type="dxa"/>
        <w:tblLayout w:type="fixed"/>
        <w:tblCellMar>
          <w:top w:w="0" w:type="dxa"/>
          <w:left w:w="0" w:type="dxa"/>
          <w:bottom w:w="0" w:type="dxa"/>
          <w:right w:w="0" w:type="dxa"/>
        </w:tblCellMar>
      </w:tblPr>
      <w:tblGrid>
        <w:gridCol w:w="37"/>
        <w:gridCol w:w="322"/>
        <w:gridCol w:w="9846"/>
      </w:tblGrid>
      <w:tr>
        <w:trPr/>
        <w:tc>
          <w:tcPr>
            <w:tcW w:w="3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i/>
              </w:rPr>
            </w:pPr>
            <w:r>
              <w:rPr>
                <w:i/>
              </w:rPr>
              <w:t>(D)</w:t>
            </w:r>
          </w:p>
        </w:tc>
        <w:tc>
          <w:tcPr>
            <w:tcW w:w="9846" w:type="dxa"/>
            <w:tcBorders/>
            <w:vAlign w:val="center"/>
          </w:tcPr>
          <w:p>
            <w:pPr>
              <w:pStyle w:val="TableContents"/>
              <w:bidi w:val="0"/>
              <w:spacing w:before="0" w:after="283"/>
              <w:jc w:val="both"/>
              <w:rPr/>
            </w:pPr>
            <w:r>
              <w:rPr>
                <w:i/>
              </w:rPr>
              <w:t>Wallet Compatibility</w:t>
            </w:r>
            <w:r>
              <w:rPr/>
              <w:t>: the New Token is supported by either BitGo wallets or Ledger wallets within thirty (30) days of the Applicable Airdrop or Hard Fork.</w:t>
            </w:r>
          </w:p>
        </w:tc>
      </w:tr>
    </w:tbl>
    <w:p>
      <w:pPr>
        <w:pStyle w:val="TextBody"/>
        <w:bidi w:val="0"/>
        <w:spacing w:before="192" w:after="192"/>
        <w:ind w:left="2664" w:right="72" w:hanging="0"/>
        <w:jc w:val="both"/>
        <w:rPr>
          <w:color w:val="000000"/>
          <w:sz w:val="20"/>
        </w:rPr>
      </w:pPr>
      <w:r>
        <w:rPr>
          <w:color w:val="000000"/>
          <w:sz w:val="20"/>
        </w:rPr>
        <w:t xml:space="preserve">For the above calculations, the source for the relevant data will be bitinfocharts.com or, if bitinfocharts.com does not provide all of the required information, the source for any missing relevant data will be coinmarketcap.com, and if neither bitinfocharts.com nor coinmarketcap.com provide certain information, then coingecko.com and if the foregoing, together, do not provide all of the required information, then the parties shall discuss in good faith to mutually agree upon another data source for such missing information prior to the 30-day mark of the creation of the New Token; </w:t>
      </w:r>
      <w:r>
        <w:rPr>
          <w:i/>
          <w:color w:val="000000"/>
          <w:sz w:val="20"/>
        </w:rPr>
        <w:t>provided that</w:t>
      </w:r>
      <w:r>
        <w:rPr>
          <w:color w:val="000000"/>
          <w:sz w:val="20"/>
        </w:rPr>
        <w:t>, if the parties do not agree upon another data source for the missing information prior to such date, each party shall nominate a recognized leading market participant in the market who shall together elect the a substitute entity that will determined the data source.</w:t>
      </w:r>
    </w:p>
    <w:p>
      <w:pPr>
        <w:pStyle w:val="TextBody"/>
        <w:bidi w:val="0"/>
        <w:spacing w:before="197" w:after="197"/>
        <w:ind w:left="2664" w:right="72" w:hanging="0"/>
        <w:jc w:val="both"/>
        <w:rPr>
          <w:sz w:val="20"/>
        </w:rPr>
      </w:pPr>
      <w:r>
        <w:rPr>
          <w:sz w:val="20"/>
        </w:rPr>
        <w:t>If any New Tokens meet two (2) of the criteria above (such New Tokens, “</w:t>
      </w:r>
      <w:r>
        <w:rPr>
          <w:b/>
          <w:i/>
          <w:sz w:val="20"/>
        </w:rPr>
        <w:t>Qualifying New Tokens</w:t>
      </w:r>
      <w:r>
        <w:rPr>
          <w:sz w:val="20"/>
        </w:rPr>
        <w:t>”), then the Transferee will have up to sixty (60) days from the Applicable Airdrop or Hard Fork to transfer the Qualifying New Tokens to the Transferor.</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664" w:right="72" w:hanging="0"/>
        <w:jc w:val="both"/>
        <w:rPr>
          <w:sz w:val="20"/>
        </w:rPr>
      </w:pPr>
      <w:r>
        <w:rPr>
          <w:sz w:val="20"/>
        </w:rPr>
        <w:t>If and to the extent that Paragraph 5(c)(i) (</w:t>
      </w:r>
      <w:r>
        <w:rPr>
          <w:i/>
          <w:sz w:val="20"/>
        </w:rPr>
        <w:t>Distributions</w:t>
      </w:r>
      <w:r>
        <w:rPr>
          <w:sz w:val="20"/>
        </w:rPr>
        <w:t>) of this Annex applies to Qualifying New Tokens, the “Distribution Date” will be the date on which the Applicable Airdrop or Hard Fork occurred, the “Distributions” will be the Qualifying New Tokens, and the “Settlement Day” will be the date which is sixty (60) days from the Applicable Airdrop or Hard Fork.</w:t>
      </w:r>
    </w:p>
    <w:p>
      <w:pPr>
        <w:pStyle w:val="TextBody"/>
        <w:bidi w:val="0"/>
        <w:spacing w:before="201" w:after="201"/>
        <w:ind w:left="2664" w:right="72" w:hanging="0"/>
        <w:jc w:val="both"/>
        <w:rPr/>
      </w:pPr>
      <w:r>
        <w:rPr/>
        <w:t>“</w:t>
      </w:r>
      <w:r>
        <w:rPr>
          <w:b/>
          <w:i/>
          <w:sz w:val="20"/>
        </w:rPr>
        <w:t>Airdrop</w:t>
      </w:r>
      <w:r>
        <w:rPr>
          <w:sz w:val="20"/>
        </w:rPr>
        <w:t>” means a distribution of a new token or tokens resulting from the ownership of a separate pre-existing token. An “</w:t>
      </w:r>
      <w:r>
        <w:rPr>
          <w:b/>
          <w:i/>
          <w:sz w:val="20"/>
        </w:rPr>
        <w:t>Applicable Airdrop</w:t>
      </w:r>
      <w:r>
        <w:rPr>
          <w:sz w:val="20"/>
        </w:rPr>
        <w:t>” is an Airdrop for which the distribution of new tokens can be definitively calculated according to its distribution method, such as a pro rata distribution based on the amount of the relevant Crypto Asset held at a specified time. A “</w:t>
      </w:r>
      <w:r>
        <w:rPr>
          <w:b/>
          <w:i/>
          <w:sz w:val="20"/>
        </w:rPr>
        <w:t>Non-Applicable Airdrop</w:t>
      </w:r>
      <w:r>
        <w:rPr>
          <w:sz w:val="20"/>
        </w:rPr>
        <w:t>” is an Airdrop for which the distribution of new tokens: (i) cannot be definitively calculated, such as a random distribution, a distribution to every wallet of the relevant Crypto Asset, or a distribution that depends on a wallet of the relevant Crypto Asset meeting a threshold requirement; (ii) results in a distribution with a Value of less than US$10,000 as of the date of the Airdrop; or</w:t>
      </w:r>
    </w:p>
    <w:p>
      <w:pPr>
        <w:pStyle w:val="TextBody"/>
        <w:bidi w:val="0"/>
        <w:ind w:left="2664" w:right="72" w:hanging="0"/>
        <w:jc w:val="both"/>
        <w:rPr>
          <w:sz w:val="20"/>
        </w:rPr>
      </w:pPr>
      <w:r>
        <w:rPr>
          <w:sz w:val="20"/>
        </w:rPr>
        <w:t>(iii) requires more than a de minimis affirmative action by the recipient to claim, receive or take delivery of such new tokens, determined in good faith and a commercially reasonable manner. A Non-Applicable Airdrop is not an Applicable Airdrop.</w:t>
      </w:r>
    </w:p>
    <w:p>
      <w:pPr>
        <w:pStyle w:val="TextBody"/>
        <w:bidi w:val="0"/>
        <w:spacing w:before="200" w:after="200"/>
        <w:ind w:left="2664" w:right="72" w:hanging="0"/>
        <w:jc w:val="both"/>
        <w:rPr/>
      </w:pPr>
      <w:r>
        <w:rPr/>
        <w:t>“</w:t>
      </w:r>
      <w:r>
        <w:rPr>
          <w:b/>
          <w:i/>
          <w:sz w:val="20"/>
        </w:rPr>
        <w:t>Hard Fork</w:t>
      </w:r>
      <w:r>
        <w:rPr>
          <w:sz w:val="20"/>
        </w:rPr>
        <w:t>” means a permanent divergence in the relevant Crypto Asset blockchain, that commonly occurs when non-upgraded nodes cannot validate blocks created by upgraded nodes that follow newer consensus rules.</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(ii)</w:t>
            </w:r>
          </w:p>
        </w:tc>
        <w:tc>
          <w:tcPr>
            <w:tcW w:w="9933" w:type="dxa"/>
            <w:tcBorders/>
            <w:vAlign w:val="center"/>
          </w:tcPr>
          <w:p>
            <w:pPr>
              <w:pStyle w:val="TableContents"/>
              <w:bidi w:val="0"/>
              <w:spacing w:before="0" w:after="283"/>
              <w:jc w:val="both"/>
              <w:rPr/>
            </w:pPr>
            <w:r>
              <w:rPr>
                <w:b/>
                <w:i/>
              </w:rPr>
              <w:t xml:space="preserve">Interest Amount. </w:t>
            </w:r>
            <w:r>
              <w:rPr/>
              <w:t>The provisions of Paragraph 5(c)(ii) (</w:t>
            </w:r>
            <w:r>
              <w:rPr>
                <w:i/>
              </w:rPr>
              <w:t>Interest Amount</w:t>
            </w:r>
            <w:r>
              <w:rPr/>
              <w:t>) of this Annex shall not apply. For the avoidance of doubt, (1) neither party shall have any obligation to transfer any Interest Amount to the other party pursuant to this Annex, and (2) this Annex shall be read as if any references to Interest Amount were removed from this Annex.</w:t>
            </w:r>
          </w:p>
        </w:tc>
      </w:tr>
    </w:tbl>
    <w:p>
      <w:pPr>
        <w:pStyle w:val="TextBody"/>
        <w:bidi w:val="0"/>
        <w:spacing w:before="245" w:after="245"/>
        <w:ind w:left="1152" w:right="245" w:hanging="0"/>
        <w:jc w:val="left"/>
        <w:rPr>
          <w:sz w:val="20"/>
        </w:rPr>
      </w:pPr>
      <w:r>
        <w:rPr>
          <w:sz w:val="20"/>
        </w:rPr>
        <w:t>(g)       </w:t>
      </w:r>
      <w:r>
        <w:rPr>
          <w:b/>
          <w:i/>
          <w:sz w:val="20"/>
        </w:rPr>
        <w:t>Address for Transfers.</w:t>
      </w:r>
    </w:p>
    <w:p>
      <w:pPr>
        <w:pStyle w:val="TextBody"/>
        <w:bidi w:val="0"/>
        <w:spacing w:before="244" w:after="244"/>
        <w:ind w:left="1872" w:right="244" w:hanging="0"/>
        <w:jc w:val="left"/>
        <w:rPr>
          <w:sz w:val="20"/>
        </w:rPr>
      </w:pPr>
      <w:r>
        <w:rPr>
          <w:sz w:val="20"/>
        </w:rPr>
        <w:t>(i)               Party A: As specified by Party A at the time of its demand, with respect to the relevant transfer.</w:t>
      </w:r>
    </w:p>
    <w:p>
      <w:pPr>
        <w:pStyle w:val="TextBody"/>
        <w:bidi w:val="0"/>
        <w:spacing w:before="246" w:after="246"/>
        <w:ind w:left="1872" w:right="246" w:hanging="0"/>
        <w:jc w:val="left"/>
        <w:rPr>
          <w:sz w:val="20"/>
        </w:rPr>
      </w:pPr>
      <w:r>
        <w:rPr>
          <w:sz w:val="20"/>
        </w:rPr>
        <w:t>(ii)              Party B: As specified by Party B at the time of its demand, with respect to the relevant transfer.</w:t>
      </w:r>
    </w:p>
    <w:p>
      <w:pPr>
        <w:pStyle w:val="TextBody"/>
        <w:bidi w:val="0"/>
        <w:spacing w:before="245" w:after="245"/>
        <w:ind w:left="1152" w:right="245" w:hanging="0"/>
        <w:jc w:val="left"/>
        <w:rPr>
          <w:sz w:val="20"/>
        </w:rPr>
      </w:pPr>
      <w:r>
        <w:rPr>
          <w:sz w:val="20"/>
        </w:rPr>
        <w:t>(h)       </w:t>
      </w:r>
      <w:r>
        <w:rPr>
          <w:b/>
          <w:i/>
          <w:sz w:val="20"/>
        </w:rPr>
        <w:t>Other Provisions.</w:t>
      </w:r>
    </w:p>
    <w:p>
      <w:pPr>
        <w:pStyle w:val="TextBody"/>
        <w:bidi w:val="0"/>
        <w:spacing w:before="221" w:after="221"/>
        <w:ind w:left="1872" w:right="221" w:hanging="0"/>
        <w:jc w:val="left"/>
        <w:rPr>
          <w:sz w:val="20"/>
        </w:rPr>
      </w:pPr>
      <w:r>
        <w:rPr>
          <w:sz w:val="20"/>
        </w:rPr>
        <w:t>(i)       </w:t>
      </w:r>
      <w:r>
        <w:rPr>
          <w:b/>
          <w:i/>
          <w:sz w:val="20"/>
        </w:rPr>
        <w:t>Default</w:t>
      </w:r>
      <w:r>
        <w:rPr>
          <w:sz w:val="20"/>
        </w:rPr>
        <w:t>. Paragraph 6 (</w:t>
      </w:r>
      <w:r>
        <w:rPr>
          <w:i/>
          <w:sz w:val="20"/>
        </w:rPr>
        <w:t>Default</w:t>
      </w:r>
      <w:r>
        <w:rPr>
          <w:sz w:val="20"/>
        </w:rPr>
        <w:t>) of this Annex is amended by:</w:t>
      </w:r>
    </w:p>
    <w:tbl>
      <w:tblPr>
        <w:tblW w:w="5000" w:type="pct"/>
        <w:jc w:val="left"/>
        <w:tblInd w:w="0" w:type="dxa"/>
        <w:tblLayout w:type="fixed"/>
        <w:tblCellMar>
          <w:top w:w="0" w:type="dxa"/>
          <w:left w:w="0" w:type="dxa"/>
          <w:bottom w:w="0" w:type="dxa"/>
          <w:right w:w="0" w:type="dxa"/>
        </w:tblCellMar>
      </w:tblPr>
      <w:tblGrid>
        <w:gridCol w:w="37"/>
        <w:gridCol w:w="316"/>
        <w:gridCol w:w="9852"/>
      </w:tblGrid>
      <w:tr>
        <w:trPr/>
        <w:tc>
          <w:tcPr>
            <w:tcW w:w="3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pPr>
            <w:r>
              <w:rPr/>
              <w:t>(A)</w:t>
            </w:r>
          </w:p>
        </w:tc>
        <w:tc>
          <w:tcPr>
            <w:tcW w:w="9852" w:type="dxa"/>
            <w:tcBorders/>
            <w:vAlign w:val="center"/>
          </w:tcPr>
          <w:p>
            <w:pPr>
              <w:pStyle w:val="TableContents"/>
              <w:bidi w:val="0"/>
              <w:spacing w:before="0" w:after="283"/>
              <w:jc w:val="both"/>
              <w:rPr/>
            </w:pPr>
            <w:r>
              <w:rPr/>
              <w:t>including the words “or a Termination Event resulting in the termination of all (but not less than all) Transactions” after the words “Event of Default” in the first line thereof; and</w:t>
            </w:r>
          </w:p>
        </w:tc>
      </w:tr>
    </w:tbl>
    <w:tbl>
      <w:tblPr>
        <w:tblW w:w="5000" w:type="pct"/>
        <w:jc w:val="left"/>
        <w:tblInd w:w="0" w:type="dxa"/>
        <w:tblLayout w:type="fixed"/>
        <w:tblCellMar>
          <w:top w:w="0" w:type="dxa"/>
          <w:left w:w="0" w:type="dxa"/>
          <w:bottom w:w="0" w:type="dxa"/>
          <w:right w:w="0" w:type="dxa"/>
        </w:tblCellMar>
      </w:tblPr>
      <w:tblGrid>
        <w:gridCol w:w="37"/>
        <w:gridCol w:w="321"/>
        <w:gridCol w:w="9847"/>
      </w:tblGrid>
      <w:tr>
        <w:trPr/>
        <w:tc>
          <w:tcPr>
            <w:tcW w:w="3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(B)</w:t>
            </w:r>
          </w:p>
        </w:tc>
        <w:tc>
          <w:tcPr>
            <w:tcW w:w="9847" w:type="dxa"/>
            <w:tcBorders/>
            <w:vAlign w:val="center"/>
          </w:tcPr>
          <w:p>
            <w:pPr>
              <w:pStyle w:val="TableContents"/>
              <w:bidi w:val="0"/>
              <w:spacing w:before="0" w:after="283"/>
              <w:jc w:val="both"/>
              <w:rPr/>
            </w:pPr>
            <w:r>
              <w:rPr/>
              <w:t>inserting the words “or the Affected Party, as the case may be,” after the words “Defaulting Party” in the fourth line thereof.</w:t>
            </w:r>
          </w:p>
        </w:tc>
      </w:tr>
    </w:tbl>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(ii)</w:t>
            </w:r>
          </w:p>
        </w:tc>
        <w:tc>
          <w:tcPr>
            <w:tcW w:w="9924" w:type="dxa"/>
            <w:tcBorders/>
            <w:vAlign w:val="center"/>
          </w:tcPr>
          <w:p>
            <w:pPr>
              <w:pStyle w:val="TableContents"/>
              <w:bidi w:val="0"/>
              <w:spacing w:before="0" w:after="283"/>
              <w:jc w:val="both"/>
              <w:rPr/>
            </w:pPr>
            <w:r>
              <w:rPr>
                <w:b/>
                <w:i/>
              </w:rPr>
              <w:t>Final Returns</w:t>
            </w:r>
            <w:r>
              <w:rPr/>
              <w:t>. When no amounts are or may become payable by the Transferor with respect to any obligations under this Agreement, the Transferee will transfer to the Transferor Equivalent Credit Support with respect to the Credit Support Balance.</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302"/>
        <w:gridCol w:w="9865"/>
      </w:tblGrid>
      <w:tr>
        <w:trPr/>
        <w:tc>
          <w:tcPr>
            <w:tcW w:w="3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b/>
                <w:i/>
              </w:rPr>
            </w:pPr>
            <w:r>
              <w:rPr>
                <w:b/>
                <w:i/>
              </w:rPr>
              <w:t>(iii)</w:t>
            </w:r>
          </w:p>
        </w:tc>
        <w:tc>
          <w:tcPr>
            <w:tcW w:w="9865" w:type="dxa"/>
            <w:tcBorders/>
            <w:vAlign w:val="center"/>
          </w:tcPr>
          <w:p>
            <w:pPr>
              <w:pStyle w:val="TableContents"/>
              <w:bidi w:val="0"/>
              <w:spacing w:before="0" w:after="283"/>
              <w:jc w:val="both"/>
              <w:rPr/>
            </w:pPr>
            <w:r>
              <w:rPr>
                <w:b/>
                <w:i/>
              </w:rPr>
              <w:t xml:space="preserve">Local Business Day. </w:t>
            </w:r>
            <w:r>
              <w:rPr/>
              <w:t>The place agreed between the parties for the purposes of paragraphs (ii) and (iii) of the definition of “</w:t>
            </w:r>
            <w:r>
              <w:rPr>
                <w:b/>
                <w:i/>
              </w:rPr>
              <w:t>Local Business Day</w:t>
            </w:r>
            <w:r>
              <w:rPr/>
              <w:t>” in Paragraph 10 (Definitions) of this Annex is London (United Kingdom). “</w:t>
            </w:r>
            <w:r>
              <w:rPr>
                <w:b/>
                <w:i/>
              </w:rPr>
              <w:t>UTC</w:t>
            </w:r>
            <w:r>
              <w:rPr/>
              <w:t>” means Coordinated Universal Time.</w:t>
            </w:r>
          </w:p>
        </w:tc>
      </w:tr>
    </w:tbl>
    <w:tbl>
      <w:tblPr>
        <w:tblW w:w="5000" w:type="pct"/>
        <w:jc w:val="left"/>
        <w:tblInd w:w="0" w:type="dxa"/>
        <w:tblLayout w:type="fixed"/>
        <w:tblCellMar>
          <w:top w:w="0" w:type="dxa"/>
          <w:left w:w="0" w:type="dxa"/>
          <w:bottom w:w="0" w:type="dxa"/>
          <w:right w:w="0" w:type="dxa"/>
        </w:tblCellMar>
      </w:tblPr>
      <w:tblGrid>
        <w:gridCol w:w="37"/>
        <w:gridCol w:w="282"/>
        <w:gridCol w:w="9886"/>
      </w:tblGrid>
      <w:tr>
        <w:trPr/>
        <w:tc>
          <w:tcPr>
            <w:tcW w:w="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b/>
                <w:i/>
              </w:rPr>
            </w:pPr>
            <w:r>
              <w:rPr>
                <w:b/>
                <w:i/>
              </w:rPr>
              <w:t>(iv)</w:t>
            </w:r>
          </w:p>
        </w:tc>
        <w:tc>
          <w:tcPr>
            <w:tcW w:w="9886" w:type="dxa"/>
            <w:tcBorders/>
            <w:vAlign w:val="center"/>
          </w:tcPr>
          <w:p>
            <w:pPr>
              <w:pStyle w:val="TableContents"/>
              <w:bidi w:val="0"/>
              <w:spacing w:before="0" w:after="283"/>
              <w:jc w:val="both"/>
              <w:rPr/>
            </w:pPr>
            <w:r>
              <w:rPr>
                <w:b/>
                <w:i/>
              </w:rPr>
              <w:t xml:space="preserve">Counterparts. </w:t>
            </w:r>
            <w:r>
              <w:rPr/>
              <w:t>This Annex may be executed in any number of counterparts, and by different parties hereto on separate counterparts each of which when executed and delivered, by e-mail or otherwise, shall be deemed to be an original and all of which taken together shall constitute one and the same instrument.</w:t>
            </w:r>
          </w:p>
        </w:tc>
      </w:tr>
    </w:tbl>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b/>
                <w:i/>
              </w:rPr>
            </w:pPr>
            <w:r>
              <w:rPr>
                <w:b/>
                <w:i/>
              </w:rPr>
              <w:t>(v)</w:t>
            </w:r>
          </w:p>
        </w:tc>
        <w:tc>
          <w:tcPr>
            <w:tcW w:w="9925" w:type="dxa"/>
            <w:tcBorders/>
            <w:vAlign w:val="center"/>
          </w:tcPr>
          <w:p>
            <w:pPr>
              <w:pStyle w:val="TableContents"/>
              <w:bidi w:val="0"/>
              <w:spacing w:before="0" w:after="283"/>
              <w:jc w:val="both"/>
              <w:rPr/>
            </w:pPr>
            <w:r>
              <w:rPr>
                <w:b/>
                <w:i/>
              </w:rPr>
              <w:t xml:space="preserve">Governing law. </w:t>
            </w:r>
            <w:r>
              <w:rPr/>
              <w:t>This Annex and any non-contractual obligations arising out of or in connection with it will be governed by and construed in accordance with English law.</w:t>
            </w:r>
          </w:p>
        </w:tc>
      </w:tr>
    </w:tbl>
    <w:tbl>
      <w:tblPr>
        <w:tblW w:w="5000" w:type="pct"/>
        <w:jc w:val="left"/>
        <w:tblInd w:w="0" w:type="dxa"/>
        <w:tblLayout w:type="fixed"/>
        <w:tblCellMar>
          <w:top w:w="0" w:type="dxa"/>
          <w:left w:w="0" w:type="dxa"/>
          <w:bottom w:w="0" w:type="dxa"/>
          <w:right w:w="0" w:type="dxa"/>
        </w:tblCellMar>
      </w:tblPr>
      <w:tblGrid>
        <w:gridCol w:w="37"/>
        <w:gridCol w:w="281"/>
        <w:gridCol w:w="9887"/>
      </w:tblGrid>
      <w:tr>
        <w:trPr/>
        <w:tc>
          <w:tcPr>
            <w:tcW w:w="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b/>
                <w:i/>
              </w:rPr>
            </w:pPr>
            <w:r>
              <w:rPr>
                <w:b/>
                <w:i/>
              </w:rPr>
              <w:t>(vi)</w:t>
            </w:r>
          </w:p>
        </w:tc>
        <w:tc>
          <w:tcPr>
            <w:tcW w:w="9887" w:type="dxa"/>
            <w:tcBorders/>
            <w:vAlign w:val="center"/>
          </w:tcPr>
          <w:p>
            <w:pPr>
              <w:pStyle w:val="TableContents"/>
              <w:bidi w:val="0"/>
              <w:spacing w:before="0" w:after="283"/>
              <w:jc w:val="both"/>
              <w:rPr/>
            </w:pPr>
            <w:r>
              <w:rPr>
                <w:b/>
                <w:i/>
              </w:rPr>
              <w:t xml:space="preserve">Form of Annex. </w:t>
            </w:r>
            <w:r>
              <w:rPr/>
              <w:t>The parties hereby agree that the text of Paragraphs 1 to 10 of this Annex is intended to be the printed form of the 1995 ISDA Credit Support Annex (Bilateral Form - Transfer - ISDA Agreements Subject to English Law version) as published and copyrighted by the International Swaps and Derivatives Association, Inc.</w:t>
            </w:r>
          </w:p>
        </w:tc>
      </w:tr>
    </w:tbl>
    <w:tbl>
      <w:tblPr>
        <w:tblW w:w="5000" w:type="pct"/>
        <w:jc w:val="left"/>
        <w:tblInd w:w="0" w:type="dxa"/>
        <w:tblLayout w:type="fixed"/>
        <w:tblCellMar>
          <w:top w:w="0" w:type="dxa"/>
          <w:left w:w="0" w:type="dxa"/>
          <w:bottom w:w="0" w:type="dxa"/>
          <w:right w:w="0" w:type="dxa"/>
        </w:tblCellMar>
      </w:tblPr>
      <w:tblGrid>
        <w:gridCol w:w="37"/>
        <w:gridCol w:w="350"/>
        <w:gridCol w:w="9818"/>
      </w:tblGrid>
      <w:tr>
        <w:trPr/>
        <w:tc>
          <w:tcPr>
            <w:tcW w:w="3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b/>
                <w:i/>
              </w:rPr>
            </w:pPr>
            <w:r>
              <w:rPr>
                <w:b/>
                <w:i/>
              </w:rPr>
              <w:t>(vii)</w:t>
            </w:r>
          </w:p>
        </w:tc>
        <w:tc>
          <w:tcPr>
            <w:tcW w:w="9818" w:type="dxa"/>
            <w:tcBorders/>
            <w:vAlign w:val="center"/>
          </w:tcPr>
          <w:p>
            <w:pPr>
              <w:pStyle w:val="TableContents"/>
              <w:bidi w:val="0"/>
              <w:spacing w:before="0" w:after="283"/>
              <w:jc w:val="both"/>
              <w:rPr/>
            </w:pPr>
            <w:r>
              <w:rPr>
                <w:b/>
                <w:i/>
              </w:rPr>
              <w:t>Further Assurances</w:t>
            </w:r>
            <w:r>
              <w:rPr/>
              <w:t>. Each Party agrees to execute and deliver all instruments and to do all acts and take all steps as the other Party may reasonably require in order to effect and evidence the valid and effective transfer of Posted Collateral.</w:t>
            </w:r>
          </w:p>
        </w:tc>
      </w:tr>
    </w:tbl>
    <w:p>
      <w:pPr>
        <w:pStyle w:val="TextBody"/>
        <w:bidi w:val="0"/>
        <w:spacing w:before="249" w:after="249"/>
        <w:ind w:left="72" w:right="72" w:hanging="0"/>
        <w:jc w:val="center"/>
        <w:rPr>
          <w:i/>
          <w:sz w:val="20"/>
        </w:rPr>
      </w:pPr>
      <w:r>
        <w:rPr>
          <w:i/>
          <w:sz w:val="20"/>
        </w:rPr>
        <w:t>[Remainder of page intentionally left blank]</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 w:right="72" w:firstLine="720"/>
        <w:jc w:val="both"/>
        <w:rPr>
          <w:sz w:val="20"/>
        </w:rPr>
      </w:pPr>
      <w:r>
        <w:rPr>
          <w:b/>
          <w:sz w:val="20"/>
        </w:rPr>
        <w:t xml:space="preserve">IN WITNESS WHEREOF, </w:t>
      </w:r>
      <w:r>
        <w:rPr>
          <w:sz w:val="20"/>
        </w:rPr>
        <w:t>the parties hereto have executed this Annex on the respective dates specified below, with effect from the date specified on the first page.</w:t>
      </w:r>
    </w:p>
    <w:p>
      <w:pPr>
        <w:pStyle w:val="TextBody"/>
        <w:bidi w:val="0"/>
        <w:spacing w:before="0" w:after="0"/>
        <w:ind w:left="72" w:right="72" w:firstLine="720"/>
        <w:jc w:val="both"/>
        <w:rPr/>
      </w:pPr>
      <w:r>
        <w:rPr/>
        <w:t> </w:t>
      </w:r>
    </w:p>
    <w:tbl>
      <w:tblPr>
        <w:tblW w:w="10205" w:type="dxa"/>
        <w:jc w:val="left"/>
        <w:tblInd w:w="-10" w:type="dxa"/>
        <w:tblLayout w:type="fixed"/>
        <w:tblCellMar>
          <w:top w:w="196" w:type="dxa"/>
          <w:left w:w="28" w:type="dxa"/>
          <w:bottom w:w="239" w:type="dxa"/>
          <w:right w:w="519" w:type="dxa"/>
        </w:tblCellMar>
      </w:tblPr>
      <w:tblGrid>
        <w:gridCol w:w="1280"/>
        <w:gridCol w:w="7454"/>
        <w:gridCol w:w="297"/>
        <w:gridCol w:w="1174"/>
      </w:tblGrid>
      <w:tr>
        <w:trPr/>
        <w:tc>
          <w:tcPr>
            <w:tcW w:w="8734"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BLOCKCHAIN.COM (BVI) II LIMITED</w:t>
            </w:r>
          </w:p>
        </w:tc>
        <w:tc>
          <w:tcPr>
            <w:tcW w:w="1471" w:type="dxa"/>
            <w:gridSpan w:val="2"/>
            <w:tcBorders>
              <w:top w:val="single" w:sz="8" w:space="0" w:color="000000"/>
              <w:bottom w:val="single" w:sz="8" w:space="0" w:color="000000"/>
              <w:right w:val="single" w:sz="8" w:space="0" w:color="000000"/>
            </w:tcBorders>
            <w:tcMar>
              <w:top w:w="28" w:type="dxa"/>
              <w:left w:w="0" w:type="dxa"/>
              <w:bottom w:w="28" w:type="dxa"/>
              <w:right w:w="28" w:type="dxa"/>
            </w:tcMar>
            <w:vAlign w:val="center"/>
          </w:tcPr>
          <w:p>
            <w:pPr>
              <w:pStyle w:val="TableContents"/>
              <w:bidi w:val="0"/>
              <w:spacing w:before="0" w:after="283"/>
              <w:jc w:val="center"/>
              <w:rPr>
                <w:b/>
                <w:sz w:val="20"/>
              </w:rPr>
            </w:pPr>
            <w:r>
              <w:rPr>
                <w:b/>
                <w:sz w:val="20"/>
              </w:rPr>
              <w:t>SONO GROUP N.V.</w:t>
            </w:r>
          </w:p>
        </w:tc>
      </w:tr>
      <w:tr>
        <w:trPr/>
        <w:tc>
          <w:tcPr>
            <w:tcW w:w="1280" w:type="dxa"/>
            <w:vMerge w:val="restart"/>
            <w:tcBorders>
              <w:left w:val="single" w:sz="8" w:space="0" w:color="000000"/>
              <w:bottom w:val="single" w:sz="8" w:space="0" w:color="000000"/>
              <w:right w:val="double" w:sz="2" w:space="0" w:color="000000"/>
            </w:tcBorders>
            <w:tcMar>
              <w:top w:w="0" w:type="dxa"/>
              <w:left w:w="115" w:type="dxa"/>
              <w:bottom w:w="226" w:type="dxa"/>
              <w:right w:w="28" w:type="dxa"/>
            </w:tcMar>
            <w:vAlign w:val="center"/>
          </w:tcPr>
          <w:p>
            <w:pPr>
              <w:pStyle w:val="TableContents"/>
              <w:bidi w:val="0"/>
              <w:spacing w:before="0" w:after="283"/>
              <w:jc w:val="left"/>
              <w:rPr>
                <w:sz w:val="20"/>
              </w:rPr>
            </w:pPr>
            <w:r>
              <w:rPr>
                <w:sz w:val="20"/>
              </w:rPr>
              <w:t>By:</w:t>
            </w:r>
          </w:p>
        </w:tc>
        <w:tc>
          <w:tcPr>
            <w:tcW w:w="7454" w:type="dxa"/>
            <w:vMerge w:val="restart"/>
            <w:tcBorders>
              <w:left w:val="double" w:sz="8" w:space="0" w:color="000000"/>
              <w:bottom w:val="single" w:sz="8" w:space="0" w:color="000000"/>
              <w:right w:val="single" w:sz="8" w:space="0" w:color="000000"/>
            </w:tcBorders>
            <w:tcMar>
              <w:top w:w="0" w:type="dxa"/>
              <w:bottom w:w="28" w:type="dxa"/>
              <w:right w:w="28" w:type="dxa"/>
            </w:tcMar>
            <w:vAlign w:val="center"/>
          </w:tcPr>
          <w:p>
            <w:pPr>
              <w:pStyle w:val="TableContents"/>
              <w:bidi w:val="0"/>
              <w:spacing w:before="0" w:after="283"/>
              <w:jc w:val="left"/>
              <w:rPr/>
            </w:pPr>
            <w:r>
              <w:rPr/>
              <w:t>  </w:t>
            </w:r>
            <w:r>
              <w:rPr>
                <w:sz w:val="20"/>
              </w:rPr>
              <w:t>/s/ Allan Gregory Boyd</w:t>
            </w:r>
          </w:p>
        </w:tc>
        <w:tc>
          <w:tcPr>
            <w:tcW w:w="297" w:type="dxa"/>
            <w:vMerge w:val="restart"/>
            <w:tcBorders>
              <w:bottom w:val="single" w:sz="8" w:space="0" w:color="000000"/>
              <w:right w:val="double" w:sz="2" w:space="0" w:color="000000"/>
            </w:tcBorders>
            <w:tcMar>
              <w:top w:w="0" w:type="dxa"/>
              <w:left w:w="0" w:type="dxa"/>
              <w:bottom w:w="226" w:type="dxa"/>
              <w:right w:w="28" w:type="dxa"/>
            </w:tcMar>
            <w:vAlign w:val="center"/>
          </w:tcPr>
          <w:p>
            <w:pPr>
              <w:pStyle w:val="TableContents"/>
              <w:bidi w:val="0"/>
              <w:spacing w:before="0" w:after="283"/>
              <w:jc w:val="left"/>
              <w:rPr>
                <w:sz w:val="20"/>
              </w:rPr>
            </w:pPr>
            <w:r>
              <w:rPr>
                <w:sz w:val="20"/>
              </w:rPr>
              <w:t>By:</w:t>
            </w:r>
          </w:p>
        </w:tc>
        <w:tc>
          <w:tcPr>
            <w:tcW w:w="1174" w:type="dxa"/>
            <w:tcBorders>
              <w:left w:val="double" w:sz="8" w:space="0" w:color="000000"/>
              <w:right w:val="single" w:sz="8" w:space="0" w:color="000000"/>
            </w:tcBorders>
            <w:tcMar>
              <w:top w:w="0" w:type="dxa"/>
              <w:bottom w:w="0" w:type="dxa"/>
              <w:right w:w="28" w:type="dxa"/>
            </w:tcMar>
            <w:vAlign w:val="center"/>
          </w:tcPr>
          <w:p>
            <w:pPr>
              <w:pStyle w:val="TableContents"/>
              <w:bidi w:val="0"/>
              <w:spacing w:before="0" w:after="283"/>
              <w:jc w:val="left"/>
              <w:rPr/>
            </w:pPr>
            <w:r>
              <w:rPr/>
              <w:t>  </w:t>
            </w:r>
            <w:r>
              <w:rPr>
                <w:sz w:val="20"/>
              </w:rPr>
              <w:t>/s/ Kevin J. McGurn</w:t>
            </w:r>
          </w:p>
        </w:tc>
      </w:tr>
      <w:tr>
        <w:trPr/>
        <w:tc>
          <w:tcPr>
            <w:tcW w:w="1280" w:type="dxa"/>
            <w:vMerge w:val="continue"/>
            <w:tcBorders>
              <w:left w:val="single" w:sz="8" w:space="0" w:color="000000"/>
              <w:bottom w:val="single" w:sz="8" w:space="0" w:color="000000"/>
              <w:right w:val="double" w:sz="2" w:space="0" w:color="000000"/>
            </w:tcBorders>
            <w:tcMar>
              <w:top w:w="0" w:type="dxa"/>
              <w:left w:w="115" w:type="dxa"/>
              <w:bottom w:w="226" w:type="dxa"/>
              <w:right w:w="28" w:type="dxa"/>
            </w:tcMar>
            <w:vAlign w:val="center"/>
          </w:tcPr>
          <w:p>
            <w:pPr>
              <w:pStyle w:val="Normal"/>
              <w:bidi w:val="0"/>
              <w:jc w:val="left"/>
              <w:rPr/>
            </w:pPr>
            <w:r>
              <w:rPr/>
            </w:r>
          </w:p>
        </w:tc>
        <w:tc>
          <w:tcPr>
            <w:tcW w:w="7454" w:type="dxa"/>
            <w:vMerge w:val="continue"/>
            <w:tcBorders>
              <w:left w:val="double" w:sz="8" w:space="0" w:color="000000"/>
              <w:bottom w:val="single" w:sz="8" w:space="0" w:color="000000"/>
              <w:right w:val="single" w:sz="8" w:space="0" w:color="000000"/>
            </w:tcBorders>
            <w:tcMar>
              <w:top w:w="0" w:type="dxa"/>
              <w:bottom w:w="28" w:type="dxa"/>
              <w:right w:w="28" w:type="dxa"/>
            </w:tcMar>
            <w:vAlign w:val="center"/>
          </w:tcPr>
          <w:p>
            <w:pPr>
              <w:pStyle w:val="Normal"/>
              <w:bidi w:val="0"/>
              <w:jc w:val="left"/>
              <w:rPr/>
            </w:pPr>
            <w:r>
              <w:rPr/>
            </w:r>
          </w:p>
        </w:tc>
        <w:tc>
          <w:tcPr>
            <w:tcW w:w="297" w:type="dxa"/>
            <w:vMerge w:val="continue"/>
            <w:tcBorders>
              <w:bottom w:val="single" w:sz="8" w:space="0" w:color="000000"/>
              <w:right w:val="double" w:sz="2" w:space="0" w:color="000000"/>
            </w:tcBorders>
            <w:tcMar>
              <w:top w:w="0" w:type="dxa"/>
              <w:left w:w="0" w:type="dxa"/>
              <w:bottom w:w="226" w:type="dxa"/>
              <w:right w:w="28" w:type="dxa"/>
            </w:tcMar>
            <w:vAlign w:val="center"/>
          </w:tcPr>
          <w:p>
            <w:pPr>
              <w:pStyle w:val="Normal"/>
              <w:bidi w:val="0"/>
              <w:jc w:val="left"/>
              <w:rPr/>
            </w:pPr>
            <w:r>
              <w:rPr/>
            </w:r>
          </w:p>
        </w:tc>
        <w:tc>
          <w:tcPr>
            <w:tcW w:w="1174" w:type="dxa"/>
            <w:tcBorders>
              <w:left w:val="double" w:sz="8" w:space="0" w:color="000000"/>
              <w:bottom w:val="single" w:sz="8" w:space="0" w:color="000000"/>
              <w:right w:val="single" w:sz="8" w:space="0" w:color="000000"/>
            </w:tcBorders>
            <w:tcMar>
              <w:top w:w="0" w:type="dxa"/>
              <w:bottom w:w="28" w:type="dxa"/>
              <w:right w:w="28" w:type="dxa"/>
            </w:tcMar>
            <w:vAlign w:val="center"/>
          </w:tcPr>
          <w:p>
            <w:pPr>
              <w:pStyle w:val="TableContents"/>
              <w:bidi w:val="0"/>
              <w:spacing w:before="0" w:after="283"/>
              <w:jc w:val="left"/>
              <w:rPr/>
            </w:pPr>
            <w:r>
              <w:rPr/>
              <w:t> </w:t>
            </w:r>
          </w:p>
        </w:tc>
      </w:tr>
      <w:tr>
        <w:trPr/>
        <w:tc>
          <w:tcPr>
            <w:tcW w:w="8734" w:type="dxa"/>
            <w:gridSpan w:val="2"/>
            <w:tcBorders>
              <w:left w:val="single" w:sz="8" w:space="0" w:color="000000"/>
              <w:bottom w:val="single" w:sz="8" w:space="0" w:color="000000"/>
              <w:right w:val="single" w:sz="8" w:space="0" w:color="000000"/>
            </w:tcBorders>
            <w:tcMar>
              <w:top w:w="0" w:type="dxa"/>
              <w:left w:w="115" w:type="dxa"/>
              <w:bottom w:w="221" w:type="dxa"/>
              <w:right w:w="28" w:type="dxa"/>
            </w:tcMar>
            <w:vAlign w:val="center"/>
          </w:tcPr>
          <w:p>
            <w:pPr>
              <w:pStyle w:val="TableContents"/>
              <w:bidi w:val="0"/>
              <w:spacing w:before="0" w:after="283"/>
              <w:jc w:val="left"/>
              <w:rPr>
                <w:sz w:val="20"/>
              </w:rPr>
            </w:pPr>
            <w:r>
              <w:rPr>
                <w:sz w:val="20"/>
              </w:rPr>
              <w:t>Name:</w:t>
              <w:tab/>
              <w:t>Allan Gregory Boyd</w:t>
            </w:r>
          </w:p>
        </w:tc>
        <w:tc>
          <w:tcPr>
            <w:tcW w:w="1471" w:type="dxa"/>
            <w:gridSpan w:val="2"/>
            <w:tcBorders>
              <w:bottom w:val="single" w:sz="8" w:space="0" w:color="000000"/>
              <w:right w:val="single" w:sz="8" w:space="0" w:color="000000"/>
            </w:tcBorders>
            <w:tcMar>
              <w:top w:w="0" w:type="dxa"/>
              <w:left w:w="0" w:type="dxa"/>
              <w:bottom w:w="221" w:type="dxa"/>
              <w:right w:w="28" w:type="dxa"/>
            </w:tcMar>
            <w:vAlign w:val="center"/>
          </w:tcPr>
          <w:p>
            <w:pPr>
              <w:pStyle w:val="TableContents"/>
              <w:bidi w:val="0"/>
              <w:spacing w:before="0" w:after="283"/>
              <w:jc w:val="left"/>
              <w:rPr/>
            </w:pPr>
            <w:r>
              <w:rPr>
                <w:sz w:val="20"/>
              </w:rPr>
              <w:t>Name:</w:t>
            </w:r>
            <w:r>
              <w:rPr/>
              <w:t xml:space="preserve"> </w:t>
            </w:r>
            <w:r>
              <w:rPr>
                <w:sz w:val="20"/>
              </w:rPr>
              <w:t>Kevin J. McGurn</w:t>
            </w:r>
          </w:p>
        </w:tc>
      </w:tr>
      <w:tr>
        <w:trPr/>
        <w:tc>
          <w:tcPr>
            <w:tcW w:w="8734" w:type="dxa"/>
            <w:gridSpan w:val="2"/>
            <w:tcBorders>
              <w:left w:val="single" w:sz="8" w:space="0" w:color="000000"/>
              <w:bottom w:val="single" w:sz="8" w:space="0" w:color="000000"/>
              <w:right w:val="single" w:sz="8" w:space="0" w:color="000000"/>
            </w:tcBorders>
            <w:tcMar>
              <w:top w:w="0" w:type="dxa"/>
              <w:left w:w="115" w:type="dxa"/>
              <w:bottom w:w="231" w:type="dxa"/>
              <w:right w:w="28" w:type="dxa"/>
            </w:tcMar>
            <w:vAlign w:val="center"/>
          </w:tcPr>
          <w:p>
            <w:pPr>
              <w:pStyle w:val="TableContents"/>
              <w:bidi w:val="0"/>
              <w:spacing w:before="0" w:after="283"/>
              <w:jc w:val="left"/>
              <w:rPr>
                <w:sz w:val="20"/>
              </w:rPr>
            </w:pPr>
            <w:r>
              <w:rPr>
                <w:sz w:val="20"/>
              </w:rPr>
              <w:t>Title:</w:t>
              <w:tab/>
              <w:t>Director</w:t>
            </w:r>
          </w:p>
        </w:tc>
        <w:tc>
          <w:tcPr>
            <w:tcW w:w="1471" w:type="dxa"/>
            <w:gridSpan w:val="2"/>
            <w:tcBorders>
              <w:bottom w:val="single" w:sz="8" w:space="0" w:color="000000"/>
              <w:right w:val="single" w:sz="8" w:space="0" w:color="000000"/>
            </w:tcBorders>
            <w:tcMar>
              <w:top w:w="0" w:type="dxa"/>
              <w:left w:w="0" w:type="dxa"/>
              <w:bottom w:w="231" w:type="dxa"/>
              <w:right w:w="28" w:type="dxa"/>
            </w:tcMar>
            <w:vAlign w:val="center"/>
          </w:tcPr>
          <w:p>
            <w:pPr>
              <w:pStyle w:val="TableContents"/>
              <w:bidi w:val="0"/>
              <w:spacing w:before="0" w:after="283"/>
              <w:jc w:val="left"/>
              <w:rPr/>
            </w:pPr>
            <w:r>
              <w:rPr>
                <w:sz w:val="20"/>
              </w:rPr>
              <w:t>Title:</w:t>
            </w:r>
            <w:r>
              <w:rPr/>
              <w:t xml:space="preserve"> </w:t>
            </w:r>
            <w:r>
              <w:rPr>
                <w:sz w:val="20"/>
              </w:rPr>
              <w:t>CEO, Sono Group N.V.</w:t>
            </w:r>
          </w:p>
        </w:tc>
      </w:tr>
      <w:tr>
        <w:trPr/>
        <w:tc>
          <w:tcPr>
            <w:tcW w:w="8734" w:type="dxa"/>
            <w:gridSpan w:val="2"/>
            <w:tcBorders>
              <w:left w:val="single" w:sz="8" w:space="0" w:color="000000"/>
              <w:bottom w:val="single" w:sz="8" w:space="0" w:color="000000"/>
              <w:right w:val="single" w:sz="8" w:space="0" w:color="000000"/>
            </w:tcBorders>
            <w:tcMar>
              <w:top w:w="0" w:type="dxa"/>
              <w:bottom w:w="28" w:type="dxa"/>
              <w:right w:w="28" w:type="dxa"/>
            </w:tcMar>
            <w:vAlign w:val="center"/>
          </w:tcPr>
          <w:p>
            <w:pPr>
              <w:pStyle w:val="TableContents"/>
              <w:bidi w:val="0"/>
              <w:spacing w:before="146" w:after="146"/>
              <w:ind w:left="144" w:right="288" w:hanging="0"/>
              <w:jc w:val="left"/>
              <w:rPr>
                <w:sz w:val="20"/>
              </w:rPr>
            </w:pPr>
            <w:r>
              <w:rPr>
                <w:sz w:val="20"/>
              </w:rPr>
              <w:t>The entity that you are contracting with is Blockchain.com (BVI) II Limited (which is a separate entity from Blockchain.com (Singapore) Pte. Ltd.).</w:t>
            </w:r>
          </w:p>
          <w:p>
            <w:pPr>
              <w:pStyle w:val="TableContents"/>
              <w:bidi w:val="0"/>
              <w:spacing w:before="200" w:after="200"/>
              <w:ind w:left="144" w:right="288" w:hanging="0"/>
              <w:jc w:val="left"/>
              <w:rPr>
                <w:sz w:val="20"/>
              </w:rPr>
            </w:pPr>
            <w:r>
              <w:rPr>
                <w:sz w:val="20"/>
              </w:rPr>
              <w:t>Blockchain.com (BVI) II Limited, and its trading business, are not regulated by the Monetary Authority of Singapore (“</w:t>
            </w:r>
            <w:r>
              <w:rPr>
                <w:b/>
                <w:sz w:val="20"/>
              </w:rPr>
              <w:t>MAS</w:t>
            </w:r>
            <w:r>
              <w:rPr>
                <w:sz w:val="20"/>
              </w:rPr>
              <w:t>”).</w:t>
            </w:r>
          </w:p>
          <w:p>
            <w:pPr>
              <w:pStyle w:val="TableContents"/>
              <w:bidi w:val="0"/>
              <w:spacing w:before="200" w:after="241"/>
              <w:ind w:left="144" w:right="288" w:hanging="0"/>
              <w:jc w:val="left"/>
              <w:rPr>
                <w:sz w:val="20"/>
              </w:rPr>
            </w:pPr>
            <w:r>
              <w:rPr>
                <w:sz w:val="20"/>
              </w:rPr>
              <w:t>As Blockchain.com (BVI) II Limited, and its trading business, are not regulated by MAS, you will not have the benefit of any regulatory safeguards or protections that would be applicable to financial or payment products and services which are regulated by MAS.</w:t>
            </w:r>
          </w:p>
        </w:tc>
        <w:tc>
          <w:tcPr>
            <w:tcW w:w="297"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174"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spacing w:before="0" w:after="283"/>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pPr>
      <w:r>
        <w:rPr/>
        <w:t>17</w:t>
      </w:r>
    </w:p>
    <w:p>
      <w:pPr>
        <w:pStyle w:val="TextBody"/>
        <w:bidi w:val="0"/>
        <w:spacing w:before="60" w:after="60"/>
        <w:ind w:left="60" w:right="60" w:hanging="0"/>
        <w:jc w:val="left"/>
        <w:rPr>
          <w:bdr w:val="single" w:sz="32" w:space="1" w:color="000000"/>
        </w:rPr>
      </w:pPr>
      <w:r>
        <w:rPr>
          <w:bdr w:val="single" w:sz="3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57</Pages>
  <Words>29962</Words>
  <Characters>156574</Characters>
  <CharactersWithSpaces>188544</CharactersWithSpaces>
  <Paragraphs>1880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