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p>
    <w:p>
      <w:pPr>
        <w:ind w:left="580" w:hanging="57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6" w:lineRule="exact"/>
        <w:rPr>
          <w:sz w:val="24"/>
          <w:szCs w:val="24"/>
          <w:color w:val="auto"/>
        </w:rPr>
      </w:pPr>
    </w:p>
    <w:p>
      <w:pPr>
        <w:ind w:left="580" w:hanging="574"/>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001-41066</w:t>
      </w:r>
    </w:p>
    <w:p>
      <w:pPr>
        <w:spacing w:after="0" w:line="5"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Sono Group N.V.</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96"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4200" w:type="dxa"/>
            <w:vAlign w:val="bottom"/>
          </w:tcPr>
          <w:p>
            <w:pPr>
              <w:jc w:val="center"/>
              <w:ind w:right="1812"/>
              <w:spacing w:after="0"/>
              <w:rPr>
                <w:sz w:val="20"/>
                <w:szCs w:val="20"/>
                <w:color w:val="auto"/>
              </w:rPr>
            </w:pPr>
            <w:r>
              <w:rPr>
                <w:rFonts w:ascii="Times New Roman" w:cs="Times New Roman" w:eastAsia="Times New Roman" w:hAnsi="Times New Roman"/>
                <w:sz w:val="18"/>
                <w:szCs w:val="18"/>
                <w:b w:val="1"/>
                <w:bCs w:val="1"/>
                <w:color w:val="auto"/>
                <w:w w:val="98"/>
              </w:rPr>
              <w:t>The Netherlands</w:t>
            </w:r>
          </w:p>
        </w:tc>
        <w:tc>
          <w:tcPr>
            <w:tcW w:w="326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8"/>
              </w:rPr>
              <w:t>98-1828632</w:t>
            </w:r>
          </w:p>
        </w:tc>
      </w:tr>
      <w:tr>
        <w:trPr>
          <w:trHeight w:val="212"/>
        </w:trPr>
        <w:tc>
          <w:tcPr>
            <w:tcW w:w="4200" w:type="dxa"/>
            <w:vAlign w:val="bottom"/>
          </w:tcPr>
          <w:p>
            <w:pPr>
              <w:jc w:val="center"/>
              <w:ind w:right="1792"/>
              <w:spacing w:after="0"/>
              <w:rPr>
                <w:sz w:val="20"/>
                <w:szCs w:val="20"/>
                <w:color w:val="auto"/>
              </w:rPr>
            </w:pPr>
            <w:r>
              <w:rPr>
                <w:rFonts w:ascii="Times New Roman" w:cs="Times New Roman" w:eastAsia="Times New Roman" w:hAnsi="Times New Roman"/>
                <w:sz w:val="18"/>
                <w:szCs w:val="18"/>
                <w:b w:val="1"/>
                <w:bCs w:val="1"/>
                <w:color w:val="auto"/>
                <w:w w:val="97"/>
              </w:rPr>
              <w:t>(State or other jurisdiction of</w:t>
            </w:r>
          </w:p>
        </w:tc>
        <w:tc>
          <w:tcPr>
            <w:tcW w:w="326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8"/>
              </w:rPr>
              <w:t>(I.R.S. Employer</w:t>
            </w:r>
          </w:p>
        </w:tc>
      </w:tr>
      <w:tr>
        <w:trPr>
          <w:trHeight w:val="233"/>
        </w:trPr>
        <w:tc>
          <w:tcPr>
            <w:tcW w:w="4200" w:type="dxa"/>
            <w:vAlign w:val="bottom"/>
          </w:tcPr>
          <w:p>
            <w:pPr>
              <w:jc w:val="center"/>
              <w:ind w:right="1812"/>
              <w:spacing w:after="0"/>
              <w:rPr>
                <w:sz w:val="20"/>
                <w:szCs w:val="20"/>
                <w:color w:val="auto"/>
              </w:rPr>
            </w:pPr>
            <w:r>
              <w:rPr>
                <w:rFonts w:ascii="Times New Roman" w:cs="Times New Roman" w:eastAsia="Times New Roman" w:hAnsi="Times New Roman"/>
                <w:sz w:val="18"/>
                <w:szCs w:val="18"/>
                <w:b w:val="1"/>
                <w:bCs w:val="1"/>
                <w:color w:val="auto"/>
                <w:w w:val="97"/>
              </w:rPr>
              <w:t>incorporation or organization)</w:t>
            </w:r>
          </w:p>
        </w:tc>
        <w:tc>
          <w:tcPr>
            <w:tcW w:w="326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7"/>
              </w:rPr>
              <w:t>Identification No.)</w:t>
            </w:r>
          </w:p>
        </w:tc>
      </w:tr>
    </w:tbl>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4965 Trinidad Drive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 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Lakes, FL 34639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+1 352-502-1191</w:t>
      </w:r>
    </w:p>
    <w:p>
      <w:pPr>
        <w:spacing w:after="0" w:line="21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Waldmeisterstraße 93, 80935</w:t>
      </w:r>
    </w:p>
    <w:p>
      <w:pPr>
        <w:spacing w:after="0" w:line="2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Munich, Germany</w:t>
      </w:r>
    </w:p>
    <w:p>
      <w:pPr>
        <w:spacing w:after="0" w:line="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5"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2960" w:type="dxa"/>
            <w:vAlign w:val="bottom"/>
          </w:tcPr>
          <w:p>
            <w:pPr>
              <w:spacing w:after="0"/>
              <w:rPr>
                <w:sz w:val="20"/>
                <w:szCs w:val="20"/>
                <w:color w:val="auto"/>
              </w:rPr>
            </w:pPr>
          </w:p>
        </w:tc>
        <w:tc>
          <w:tcPr>
            <w:tcW w:w="4840" w:type="dxa"/>
            <w:vAlign w:val="bottom"/>
            <w:gridSpan w:val="5"/>
          </w:tcPr>
          <w:p>
            <w:pPr>
              <w:jc w:val="center"/>
              <w:ind w:left="392"/>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3440" w:type="dxa"/>
            <w:vAlign w:val="bottom"/>
          </w:tcPr>
          <w:p>
            <w:pPr>
              <w:spacing w:after="0"/>
              <w:rPr>
                <w:sz w:val="20"/>
                <w:szCs w:val="20"/>
                <w:color w:val="auto"/>
              </w:rPr>
            </w:pPr>
          </w:p>
        </w:tc>
      </w:tr>
      <w:tr>
        <w:trPr>
          <w:trHeight w:val="423"/>
        </w:trPr>
        <w:tc>
          <w:tcPr>
            <w:tcW w:w="2960" w:type="dxa"/>
            <w:vAlign w:val="bottom"/>
          </w:tcPr>
          <w:p>
            <w:pPr>
              <w:jc w:val="center"/>
              <w:ind w:left="572"/>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44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7"/>
        </w:trPr>
        <w:tc>
          <w:tcPr>
            <w:tcW w:w="2960" w:type="dxa"/>
            <w:vAlign w:val="bottom"/>
            <w:tcBorders>
              <w:top w:val="single" w:sz="8" w:color="auto"/>
            </w:tcBorders>
          </w:tcPr>
          <w:p>
            <w:pPr>
              <w:jc w:val="center"/>
              <w:ind w:left="572"/>
              <w:spacing w:after="0"/>
              <w:rPr>
                <w:sz w:val="20"/>
                <w:szCs w:val="20"/>
                <w:color w:val="auto"/>
              </w:rPr>
            </w:pPr>
            <w:r>
              <w:rPr>
                <w:rFonts w:ascii="Times New Roman" w:cs="Times New Roman" w:eastAsia="Times New Roman" w:hAnsi="Times New Roman"/>
                <w:sz w:val="18"/>
                <w:szCs w:val="18"/>
                <w:b w:val="1"/>
                <w:bCs w:val="1"/>
                <w:color w:val="auto"/>
                <w:w w:val="97"/>
              </w:rPr>
              <w:t>Ordinary Shares</w:t>
            </w: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SSM</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40" w:type="dxa"/>
            <w:vAlign w:val="bottom"/>
            <w:tcBorders>
              <w:top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The Nasdaq Stock Market LLC</w:t>
            </w:r>
          </w:p>
        </w:tc>
      </w:tr>
    </w:tbl>
    <w:p>
      <w:pPr>
        <w:spacing w:after="0" w:line="172" w:lineRule="exact"/>
        <w:rPr>
          <w:sz w:val="24"/>
          <w:szCs w:val="24"/>
          <w:color w:val="auto"/>
        </w:rPr>
      </w:pPr>
    </w:p>
    <w:p>
      <w:pPr>
        <w:ind w:right="46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ind w:right="28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Large accelerated filer</w:t>
            </w:r>
          </w:p>
        </w:tc>
        <w:tc>
          <w:tcPr>
            <w:tcW w:w="232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Accelerated filer</w:t>
            </w:r>
          </w:p>
        </w:tc>
        <w:tc>
          <w:tcPr>
            <w:tcW w:w="2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r>
      <w:tr>
        <w:trPr>
          <w:trHeight w:val="212"/>
        </w:trPr>
        <w:tc>
          <w:tcPr>
            <w:tcW w:w="2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Non-accelerated filer</w:t>
            </w:r>
          </w:p>
        </w:tc>
        <w:tc>
          <w:tcPr>
            <w:tcW w:w="232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r>
      <w:tr>
        <w:trPr>
          <w:trHeight w:val="296"/>
        </w:trPr>
        <w:tc>
          <w:tcPr>
            <w:tcW w:w="2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9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r>
      <w:tr>
        <w:trPr>
          <w:trHeight w:val="532"/>
        </w:trPr>
        <w:tc>
          <w:tcPr>
            <w:tcW w:w="29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1" w:name="page2"/>
    <w:bookmarkEnd w:id="1"/>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6" w:lineRule="exact"/>
        <w:rPr>
          <w:sz w:val="20"/>
          <w:szCs w:val="20"/>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7"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As of May 15, 2026, there were 1,424,834 ordinary shares, nominal value €0.01 per share, of the registrant outstanding, 40,000 high voting shares, nominal value €0.25 per share​, of the registrant outstanding, and 1,401 preferred shares, nominal value €300.00 per share, of the registrant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1410970</wp:posOffset>
            </wp:positionV>
            <wp:extent cx="713486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060"/>
          </w:cols>
          <w:pgMar w:left="320" w:top="572"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3"/>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20" w:type="dxa"/>
            <w:vAlign w:val="bottom"/>
            <w:gridSpan w:val="10"/>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w w:val="96"/>
              </w:rPr>
              <w:t>Sono Group N.V.</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80" w:type="dxa"/>
            <w:vAlign w:val="bottom"/>
            <w:gridSpan w:val="9"/>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20" w:type="dxa"/>
            <w:vAlign w:val="bottom"/>
            <w:gridSpan w:val="10"/>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vMerge w:val="restart"/>
          </w:tcPr>
          <w:p>
            <w:pPr>
              <w:spacing w:after="0"/>
              <w:rPr>
                <w:sz w:val="24"/>
                <w:szCs w:val="24"/>
                <w:color w:val="auto"/>
              </w:rPr>
            </w:pPr>
          </w:p>
        </w:tc>
        <w:tc>
          <w:tcPr>
            <w:tcW w:w="3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 FINANCIAL INFORMATION</w:t>
            </w:r>
          </w:p>
        </w:tc>
        <w:tc>
          <w:tcPr>
            <w:tcW w:w="3560" w:type="dxa"/>
            <w:vAlign w:val="bottom"/>
            <w:gridSpan w:val="7"/>
            <w:vMerge w:val="restart"/>
          </w:tcPr>
          <w:p>
            <w:pPr>
              <w:spacing w:after="0"/>
              <w:rPr>
                <w:sz w:val="24"/>
                <w:szCs w:val="24"/>
                <w:color w:val="auto"/>
              </w:rPr>
            </w:pPr>
          </w:p>
        </w:tc>
        <w:tc>
          <w:tcPr>
            <w:tcW w:w="9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020" w:type="dxa"/>
            <w:vAlign w:val="bottom"/>
            <w:gridSpan w:val="5"/>
            <w:vMerge w:val="continue"/>
          </w:tcPr>
          <w:p>
            <w:pPr>
              <w:spacing w:after="0"/>
              <w:rPr>
                <w:sz w:val="14"/>
                <w:szCs w:val="14"/>
                <w:color w:val="auto"/>
              </w:rPr>
            </w:pPr>
          </w:p>
        </w:tc>
        <w:tc>
          <w:tcPr>
            <w:tcW w:w="3560" w:type="dxa"/>
            <w:vAlign w:val="bottom"/>
            <w:gridSpan w:val="7"/>
            <w:vMerge w:val="continue"/>
          </w:tcPr>
          <w:p>
            <w:pPr>
              <w:spacing w:after="0"/>
              <w:rPr>
                <w:sz w:val="14"/>
                <w:szCs w:val="14"/>
                <w:color w:val="auto"/>
              </w:rPr>
            </w:pPr>
          </w:p>
        </w:tc>
        <w:tc>
          <w:tcPr>
            <w:tcW w:w="440" w:type="dxa"/>
            <w:vAlign w:val="bottom"/>
            <w:gridSpan w:val="2"/>
          </w:tcPr>
          <w:p>
            <w:pPr>
              <w:spacing w:after="0"/>
              <w:rPr>
                <w:sz w:val="14"/>
                <w:szCs w:val="14"/>
                <w:color w:val="auto"/>
              </w:rPr>
            </w:pPr>
          </w:p>
        </w:tc>
        <w:tc>
          <w:tcPr>
            <w:tcW w:w="140" w:type="dxa"/>
            <w:vAlign w:val="bottom"/>
            <w:gridSpan w:val="2"/>
          </w:tcPr>
          <w:p>
            <w:pPr>
              <w:jc w:val="center"/>
              <w:ind w:right="60"/>
              <w:spacing w:after="0" w:line="165" w:lineRule="exact"/>
              <w:rPr>
                <w:sz w:val="20"/>
                <w:szCs w:val="20"/>
                <w:color w:val="auto"/>
              </w:rPr>
            </w:pPr>
            <w:r>
              <w:rPr>
                <w:rFonts w:ascii="Times New Roman" w:cs="Times New Roman" w:eastAsia="Times New Roman" w:hAnsi="Times New Roman"/>
                <w:sz w:val="18"/>
                <w:szCs w:val="18"/>
                <w:color w:val="0000EE"/>
                <w:w w:val="88"/>
              </w:rPr>
              <w:t>1</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80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0000EE"/>
              </w:rPr>
              <w:t>Item 1.</w:t>
            </w:r>
          </w:p>
        </w:tc>
        <w:tc>
          <w:tcPr>
            <w:tcW w:w="2760" w:type="dxa"/>
            <w:vAlign w:val="bottom"/>
            <w:gridSpan w:val="8"/>
          </w:tcPr>
          <w:p>
            <w:pPr>
              <w:spacing w:after="0" w:line="192"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3020" w:type="dxa"/>
            <w:vAlign w:val="bottom"/>
            <w:gridSpan w:val="5"/>
          </w:tcPr>
          <w:p>
            <w:pPr>
              <w:spacing w:after="0"/>
              <w:rPr>
                <w:sz w:val="16"/>
                <w:szCs w:val="16"/>
                <w:color w:val="auto"/>
              </w:rPr>
            </w:pPr>
          </w:p>
        </w:tc>
        <w:tc>
          <w:tcPr>
            <w:tcW w:w="3560" w:type="dxa"/>
            <w:vAlign w:val="bottom"/>
            <w:gridSpan w:val="7"/>
          </w:tcPr>
          <w:p>
            <w:pPr>
              <w:spacing w:after="0"/>
              <w:rPr>
                <w:sz w:val="16"/>
                <w:szCs w:val="16"/>
                <w:color w:val="auto"/>
              </w:rPr>
            </w:pPr>
          </w:p>
        </w:tc>
        <w:tc>
          <w:tcPr>
            <w:tcW w:w="440" w:type="dxa"/>
            <w:vAlign w:val="bottom"/>
            <w:gridSpan w:val="2"/>
          </w:tcPr>
          <w:p>
            <w:pPr>
              <w:spacing w:after="0"/>
              <w:rPr>
                <w:sz w:val="16"/>
                <w:szCs w:val="16"/>
                <w:color w:val="auto"/>
              </w:rPr>
            </w:pPr>
          </w:p>
        </w:tc>
        <w:tc>
          <w:tcPr>
            <w:tcW w:w="140" w:type="dxa"/>
            <w:vAlign w:val="bottom"/>
            <w:gridSpan w:val="2"/>
          </w:tcPr>
          <w:p>
            <w:pPr>
              <w:jc w:val="center"/>
              <w:ind w:right="60"/>
              <w:spacing w:after="0" w:line="192" w:lineRule="exact"/>
              <w:rPr>
                <w:sz w:val="20"/>
                <w:szCs w:val="20"/>
                <w:color w:val="auto"/>
              </w:rPr>
            </w:pPr>
            <w:r>
              <w:rPr>
                <w:rFonts w:ascii="Times New Roman" w:cs="Times New Roman" w:eastAsia="Times New Roman" w:hAnsi="Times New Roman"/>
                <w:sz w:val="18"/>
                <w:szCs w:val="18"/>
                <w:color w:val="0000EE"/>
                <w:w w:val="88"/>
              </w:rPr>
              <w:t>1</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3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2026 and December 31, 2025</w:t>
            </w:r>
          </w:p>
        </w:tc>
        <w:tc>
          <w:tcPr>
            <w:tcW w:w="580" w:type="dxa"/>
            <w:vAlign w:val="bottom"/>
            <w:gridSpan w:val="4"/>
          </w:tcPr>
          <w:p>
            <w:pPr>
              <w:jc w:val="center"/>
              <w:ind w:left="292"/>
              <w:spacing w:after="0" w:line="192" w:lineRule="exact"/>
              <w:rPr>
                <w:sz w:val="20"/>
                <w:szCs w:val="20"/>
                <w:color w:val="auto"/>
              </w:rPr>
            </w:pPr>
            <w:r>
              <w:rPr>
                <w:rFonts w:ascii="Times New Roman" w:cs="Times New Roman" w:eastAsia="Times New Roman" w:hAnsi="Times New Roman"/>
                <w:sz w:val="18"/>
                <w:szCs w:val="18"/>
                <w:color w:val="0000EE"/>
                <w:w w:val="88"/>
              </w:rPr>
              <w:t>1</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500" w:type="dxa"/>
            <w:vAlign w:val="bottom"/>
            <w:gridSpan w:val="16"/>
          </w:tcPr>
          <w:p>
            <w:pPr>
              <w:spacing w:after="0" w:line="192" w:lineRule="exact"/>
              <w:rPr>
                <w:sz w:val="20"/>
                <w:szCs w:val="20"/>
                <w:color w:val="auto"/>
              </w:rPr>
            </w:pPr>
            <w:r>
              <w:rPr>
                <w:rFonts w:ascii="Times New Roman" w:cs="Times New Roman" w:eastAsia="Times New Roman" w:hAnsi="Times New Roman"/>
                <w:sz w:val="18"/>
                <w:szCs w:val="18"/>
                <w:color w:val="0000EE"/>
                <w:w w:val="97"/>
              </w:rPr>
              <w:t>Condensed Consolidated Statements of Operations for the Three Months Ended March 31, 2026 and 2025</w:t>
            </w:r>
          </w:p>
        </w:tc>
        <w:tc>
          <w:tcPr>
            <w:tcW w:w="1840" w:type="dxa"/>
            <w:vAlign w:val="bottom"/>
            <w:gridSpan w:val="4"/>
          </w:tcPr>
          <w:p>
            <w:pPr>
              <w:spacing w:after="0"/>
              <w:rPr>
                <w:sz w:val="16"/>
                <w:szCs w:val="16"/>
                <w:color w:val="auto"/>
              </w:rPr>
            </w:pPr>
          </w:p>
        </w:tc>
        <w:tc>
          <w:tcPr>
            <w:tcW w:w="440" w:type="dxa"/>
            <w:vAlign w:val="bottom"/>
            <w:gridSpan w:val="2"/>
          </w:tcPr>
          <w:p>
            <w:pPr>
              <w:spacing w:after="0"/>
              <w:rPr>
                <w:sz w:val="16"/>
                <w:szCs w:val="16"/>
                <w:color w:val="auto"/>
              </w:rPr>
            </w:pPr>
          </w:p>
        </w:tc>
        <w:tc>
          <w:tcPr>
            <w:tcW w:w="140" w:type="dxa"/>
            <w:vAlign w:val="bottom"/>
            <w:gridSpan w:val="2"/>
          </w:tcPr>
          <w:p>
            <w:pPr>
              <w:jc w:val="center"/>
              <w:ind w:right="60"/>
              <w:spacing w:after="0" w:line="192" w:lineRule="exact"/>
              <w:rPr>
                <w:sz w:val="20"/>
                <w:szCs w:val="20"/>
                <w:color w:val="auto"/>
              </w:rPr>
            </w:pPr>
            <w:r>
              <w:rPr>
                <w:rFonts w:ascii="Times New Roman" w:cs="Times New Roman" w:eastAsia="Times New Roman" w:hAnsi="Times New Roman"/>
                <w:sz w:val="18"/>
                <w:szCs w:val="18"/>
                <w:color w:val="0000EE"/>
                <w:w w:val="88"/>
              </w:rPr>
              <w:t>2</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3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 (Loss) for the Three Months Ended March 31, 2026 and 2025</w:t>
            </w:r>
          </w:p>
        </w:tc>
        <w:tc>
          <w:tcPr>
            <w:tcW w:w="580" w:type="dxa"/>
            <w:vAlign w:val="bottom"/>
            <w:gridSpan w:val="4"/>
          </w:tcPr>
          <w:p>
            <w:pPr>
              <w:jc w:val="center"/>
              <w:ind w:left="292"/>
              <w:spacing w:after="0" w:line="192" w:lineRule="exact"/>
              <w:rPr>
                <w:sz w:val="20"/>
                <w:szCs w:val="20"/>
                <w:color w:val="auto"/>
              </w:rPr>
            </w:pPr>
            <w:r>
              <w:rPr>
                <w:rFonts w:ascii="Times New Roman" w:cs="Times New Roman" w:eastAsia="Times New Roman" w:hAnsi="Times New Roman"/>
                <w:sz w:val="18"/>
                <w:szCs w:val="18"/>
                <w:color w:val="0000EE"/>
                <w:w w:val="88"/>
              </w:rPr>
              <w:t>3</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3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Condensed Consolidated Statements of Changes in Shareholders’ Equity for the Three Months Ended March 31, 2026 and 2025</w:t>
            </w:r>
          </w:p>
        </w:tc>
        <w:tc>
          <w:tcPr>
            <w:tcW w:w="580" w:type="dxa"/>
            <w:vAlign w:val="bottom"/>
            <w:gridSpan w:val="4"/>
          </w:tcPr>
          <w:p>
            <w:pPr>
              <w:jc w:val="center"/>
              <w:ind w:left="292"/>
              <w:spacing w:after="0" w:line="192" w:lineRule="exact"/>
              <w:rPr>
                <w:sz w:val="20"/>
                <w:szCs w:val="20"/>
                <w:color w:val="auto"/>
              </w:rPr>
            </w:pPr>
            <w:r>
              <w:rPr>
                <w:rFonts w:ascii="Times New Roman" w:cs="Times New Roman" w:eastAsia="Times New Roman" w:hAnsi="Times New Roman"/>
                <w:sz w:val="18"/>
                <w:szCs w:val="18"/>
                <w:color w:val="0000EE"/>
                <w:w w:val="88"/>
              </w:rPr>
              <w:t>4</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560" w:type="dxa"/>
            <w:vAlign w:val="bottom"/>
            <w:gridSpan w:val="17"/>
          </w:tcPr>
          <w:p>
            <w:pPr>
              <w:spacing w:after="0" w:line="192" w:lineRule="exact"/>
              <w:rPr>
                <w:sz w:val="20"/>
                <w:szCs w:val="20"/>
                <w:color w:val="auto"/>
              </w:rPr>
            </w:pPr>
            <w:r>
              <w:rPr>
                <w:rFonts w:ascii="Times New Roman" w:cs="Times New Roman" w:eastAsia="Times New Roman" w:hAnsi="Times New Roman"/>
                <w:sz w:val="18"/>
                <w:szCs w:val="18"/>
                <w:color w:val="0000EE"/>
                <w:w w:val="97"/>
              </w:rPr>
              <w:t>Condensed Consolidated Statements of Cash Flows for the Three Months Ended March 31, 2026 and 2025</w:t>
            </w:r>
          </w:p>
        </w:tc>
        <w:tc>
          <w:tcPr>
            <w:tcW w:w="148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gridSpan w:val="2"/>
          </w:tcPr>
          <w:p>
            <w:pPr>
              <w:spacing w:after="0"/>
              <w:rPr>
                <w:sz w:val="16"/>
                <w:szCs w:val="16"/>
                <w:color w:val="auto"/>
              </w:rPr>
            </w:pPr>
          </w:p>
        </w:tc>
        <w:tc>
          <w:tcPr>
            <w:tcW w:w="140" w:type="dxa"/>
            <w:vAlign w:val="bottom"/>
            <w:gridSpan w:val="2"/>
          </w:tcPr>
          <w:p>
            <w:pPr>
              <w:jc w:val="center"/>
              <w:ind w:right="60"/>
              <w:spacing w:after="0" w:line="192" w:lineRule="exact"/>
              <w:rPr>
                <w:sz w:val="20"/>
                <w:szCs w:val="20"/>
                <w:color w:val="auto"/>
              </w:rPr>
            </w:pPr>
            <w:r>
              <w:rPr>
                <w:rFonts w:ascii="Times New Roman" w:cs="Times New Roman" w:eastAsia="Times New Roman" w:hAnsi="Times New Roman"/>
                <w:sz w:val="18"/>
                <w:szCs w:val="18"/>
                <w:color w:val="0000EE"/>
                <w:w w:val="88"/>
              </w:rPr>
              <w:t>5</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20" w:type="dxa"/>
            <w:vAlign w:val="bottom"/>
            <w:gridSpan w:val="10"/>
          </w:tcPr>
          <w:p>
            <w:pPr>
              <w:spacing w:after="0" w:line="192" w:lineRule="exact"/>
              <w:rPr>
                <w:sz w:val="20"/>
                <w:szCs w:val="20"/>
                <w:color w:val="auto"/>
              </w:rPr>
            </w:pPr>
            <w:r>
              <w:rPr>
                <w:rFonts w:ascii="Times New Roman" w:cs="Times New Roman" w:eastAsia="Times New Roman" w:hAnsi="Times New Roman"/>
                <w:sz w:val="18"/>
                <w:szCs w:val="18"/>
                <w:color w:val="0000EE"/>
                <w:w w:val="97"/>
              </w:rPr>
              <w:t>Notes to Condensed Consolidated Financial Statements</w:t>
            </w:r>
          </w:p>
        </w:tc>
        <w:tc>
          <w:tcPr>
            <w:tcW w:w="3640" w:type="dxa"/>
            <w:vAlign w:val="bottom"/>
            <w:gridSpan w:val="7"/>
          </w:tcPr>
          <w:p>
            <w:pPr>
              <w:spacing w:after="0"/>
              <w:rPr>
                <w:sz w:val="16"/>
                <w:szCs w:val="16"/>
                <w:color w:val="auto"/>
              </w:rPr>
            </w:pPr>
          </w:p>
        </w:tc>
        <w:tc>
          <w:tcPr>
            <w:tcW w:w="1780" w:type="dxa"/>
            <w:vAlign w:val="bottom"/>
            <w:gridSpan w:val="3"/>
          </w:tcPr>
          <w:p>
            <w:pPr>
              <w:spacing w:after="0"/>
              <w:rPr>
                <w:sz w:val="16"/>
                <w:szCs w:val="16"/>
                <w:color w:val="auto"/>
              </w:rPr>
            </w:pPr>
          </w:p>
        </w:tc>
        <w:tc>
          <w:tcPr>
            <w:tcW w:w="440" w:type="dxa"/>
            <w:vAlign w:val="bottom"/>
            <w:gridSpan w:val="2"/>
          </w:tcPr>
          <w:p>
            <w:pPr>
              <w:spacing w:after="0"/>
              <w:rPr>
                <w:sz w:val="16"/>
                <w:szCs w:val="16"/>
                <w:color w:val="auto"/>
              </w:rPr>
            </w:pPr>
          </w:p>
        </w:tc>
        <w:tc>
          <w:tcPr>
            <w:tcW w:w="140" w:type="dxa"/>
            <w:vAlign w:val="bottom"/>
            <w:gridSpan w:val="2"/>
          </w:tcPr>
          <w:p>
            <w:pPr>
              <w:jc w:val="center"/>
              <w:ind w:right="60"/>
              <w:spacing w:after="0" w:line="192" w:lineRule="exact"/>
              <w:rPr>
                <w:sz w:val="20"/>
                <w:szCs w:val="20"/>
                <w:color w:val="auto"/>
              </w:rPr>
            </w:pPr>
            <w:r>
              <w:rPr>
                <w:rFonts w:ascii="Times New Roman" w:cs="Times New Roman" w:eastAsia="Times New Roman" w:hAnsi="Times New Roman"/>
                <w:sz w:val="18"/>
                <w:szCs w:val="18"/>
                <w:color w:val="0000EE"/>
                <w:w w:val="88"/>
              </w:rPr>
              <w:t>6</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80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0000EE"/>
              </w:rPr>
              <w:t>Item 2.</w:t>
            </w:r>
          </w:p>
        </w:tc>
        <w:tc>
          <w:tcPr>
            <w:tcW w:w="93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80" w:type="dxa"/>
            <w:vAlign w:val="bottom"/>
            <w:gridSpan w:val="5"/>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9"/>
              </w:rPr>
              <w:t>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36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80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0000EE"/>
              </w:rPr>
              <w:t>Item 3.</w:t>
            </w:r>
          </w:p>
        </w:tc>
        <w:tc>
          <w:tcPr>
            <w:tcW w:w="93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80" w:type="dxa"/>
            <w:vAlign w:val="bottom"/>
            <w:gridSpan w:val="5"/>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9"/>
              </w:rPr>
              <w:t>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360" w:type="dxa"/>
            <w:vAlign w:val="bottom"/>
            <w:tcBorders>
              <w:left w:val="single" w:sz="8" w:color="0000EE"/>
            </w:tcBorders>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80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0000EE"/>
              </w:rPr>
              <w:t>Item 4.</w:t>
            </w:r>
          </w:p>
        </w:tc>
        <w:tc>
          <w:tcPr>
            <w:tcW w:w="93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Controls and Procedures</w:t>
            </w:r>
          </w:p>
        </w:tc>
        <w:tc>
          <w:tcPr>
            <w:tcW w:w="980" w:type="dxa"/>
            <w:vAlign w:val="bottom"/>
            <w:gridSpan w:val="5"/>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9"/>
              </w:rPr>
              <w:t>28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440" w:type="dxa"/>
            <w:vAlign w:val="bottom"/>
            <w:gridSpan w:val="11"/>
            <w:vMerge w:val="restart"/>
          </w:tcPr>
          <w:p>
            <w:pPr>
              <w:jc w:val="center"/>
              <w:ind w:right="3720"/>
              <w:spacing w:after="0"/>
              <w:rPr>
                <w:sz w:val="20"/>
                <w:szCs w:val="20"/>
                <w:color w:val="auto"/>
              </w:rPr>
            </w:pPr>
            <w:r>
              <w:rPr>
                <w:rFonts w:ascii="Times New Roman" w:cs="Times New Roman" w:eastAsia="Times New Roman" w:hAnsi="Times New Roman"/>
                <w:sz w:val="18"/>
                <w:szCs w:val="18"/>
                <w:b w:val="1"/>
                <w:bCs w:val="1"/>
                <w:color w:val="0000EE"/>
                <w:w w:val="97"/>
              </w:rPr>
              <w:t>PART II. OTHER INFORMATION</w:t>
            </w:r>
          </w:p>
        </w:tc>
        <w:tc>
          <w:tcPr>
            <w:tcW w:w="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440" w:type="dxa"/>
            <w:vAlign w:val="bottom"/>
            <w:gridSpan w:val="11"/>
            <w:vMerge w:val="continue"/>
          </w:tcPr>
          <w:p>
            <w:pPr>
              <w:spacing w:after="0"/>
              <w:rPr>
                <w:sz w:val="16"/>
                <w:szCs w:val="16"/>
                <w:color w:val="auto"/>
              </w:rPr>
            </w:pPr>
          </w:p>
        </w:tc>
        <w:tc>
          <w:tcPr>
            <w:tcW w:w="980" w:type="dxa"/>
            <w:vAlign w:val="bottom"/>
            <w:gridSpan w:val="5"/>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9"/>
              </w:rPr>
              <w:t>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360" w:type="dxa"/>
            <w:vAlign w:val="bottom"/>
            <w:tcBorders>
              <w:left w:val="single" w:sz="8" w:color="0000EE"/>
            </w:tcBorders>
            <w:shd w:val="clear" w:color="auto" w:fill="0000EE"/>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80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0000EE"/>
              </w:rPr>
              <w:t>Item 1.</w:t>
            </w:r>
          </w:p>
        </w:tc>
        <w:tc>
          <w:tcPr>
            <w:tcW w:w="290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Legal Proceedings</w:t>
            </w:r>
          </w:p>
        </w:tc>
        <w:tc>
          <w:tcPr>
            <w:tcW w:w="2720" w:type="dxa"/>
            <w:vAlign w:val="bottom"/>
            <w:gridSpan w:val="3"/>
          </w:tcPr>
          <w:p>
            <w:pPr>
              <w:spacing w:after="0"/>
              <w:rPr>
                <w:sz w:val="16"/>
                <w:szCs w:val="16"/>
                <w:color w:val="auto"/>
              </w:rPr>
            </w:pPr>
          </w:p>
        </w:tc>
        <w:tc>
          <w:tcPr>
            <w:tcW w:w="3720" w:type="dxa"/>
            <w:vAlign w:val="bottom"/>
            <w:gridSpan w:val="8"/>
          </w:tcPr>
          <w:p>
            <w:pPr>
              <w:spacing w:after="0"/>
              <w:rPr>
                <w:sz w:val="16"/>
                <w:szCs w:val="16"/>
                <w:color w:val="auto"/>
              </w:rPr>
            </w:pPr>
          </w:p>
        </w:tc>
        <w:tc>
          <w:tcPr>
            <w:tcW w:w="980" w:type="dxa"/>
            <w:vAlign w:val="bottom"/>
            <w:gridSpan w:val="5"/>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9"/>
              </w:rPr>
              <w:t>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508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6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0000EE"/>
                <w:w w:val="96"/>
              </w:rPr>
              <w:t>Item 1A.</w:t>
            </w:r>
          </w:p>
        </w:tc>
        <w:tc>
          <w:tcPr>
            <w:tcW w:w="160" w:type="dxa"/>
            <w:vAlign w:val="bottom"/>
          </w:tcPr>
          <w:p>
            <w:pPr>
              <w:spacing w:after="0"/>
              <w:rPr>
                <w:sz w:val="16"/>
                <w:szCs w:val="16"/>
                <w:color w:val="auto"/>
              </w:rPr>
            </w:pPr>
          </w:p>
        </w:tc>
        <w:tc>
          <w:tcPr>
            <w:tcW w:w="93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Risk Factors</w:t>
            </w:r>
          </w:p>
        </w:tc>
        <w:tc>
          <w:tcPr>
            <w:tcW w:w="980" w:type="dxa"/>
            <w:vAlign w:val="bottom"/>
            <w:gridSpan w:val="5"/>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9"/>
              </w:rPr>
              <w:t>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508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6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0000EE"/>
              </w:rPr>
              <w:t>Item 2.</w:t>
            </w:r>
          </w:p>
        </w:tc>
        <w:tc>
          <w:tcPr>
            <w:tcW w:w="160" w:type="dxa"/>
            <w:vAlign w:val="bottom"/>
          </w:tcPr>
          <w:p>
            <w:pPr>
              <w:spacing w:after="0"/>
              <w:rPr>
                <w:sz w:val="16"/>
                <w:szCs w:val="16"/>
                <w:color w:val="auto"/>
              </w:rPr>
            </w:pPr>
          </w:p>
        </w:tc>
        <w:tc>
          <w:tcPr>
            <w:tcW w:w="93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80" w:type="dxa"/>
            <w:vAlign w:val="bottom"/>
            <w:gridSpan w:val="5"/>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9"/>
              </w:rPr>
              <w:t>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508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80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0000EE"/>
              </w:rPr>
              <w:t>Item 3.</w:t>
            </w:r>
          </w:p>
        </w:tc>
        <w:tc>
          <w:tcPr>
            <w:tcW w:w="93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80" w:type="dxa"/>
            <w:vAlign w:val="bottom"/>
            <w:gridSpan w:val="5"/>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9"/>
              </w:rPr>
              <w:t>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2"/>
            <w:shd w:val="clear" w:color="auto" w:fill="0000EE"/>
          </w:tcPr>
          <w:p>
            <w:pPr>
              <w:spacing w:after="0" w:line="20" w:lineRule="exact"/>
              <w:rPr>
                <w:sz w:val="1"/>
                <w:szCs w:val="1"/>
                <w:color w:val="auto"/>
              </w:rPr>
            </w:pPr>
          </w:p>
        </w:tc>
        <w:tc>
          <w:tcPr>
            <w:tcW w:w="7060" w:type="dxa"/>
            <w:vAlign w:val="bottom"/>
            <w:gridSpan w:val="1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80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0000EE"/>
              </w:rPr>
              <w:t>Item 4.</w:t>
            </w:r>
          </w:p>
        </w:tc>
        <w:tc>
          <w:tcPr>
            <w:tcW w:w="93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Mine Safety Disclosures</w:t>
            </w:r>
          </w:p>
        </w:tc>
        <w:tc>
          <w:tcPr>
            <w:tcW w:w="980" w:type="dxa"/>
            <w:vAlign w:val="bottom"/>
            <w:gridSpan w:val="5"/>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9"/>
              </w:rPr>
              <w:t>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80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0000EE"/>
              </w:rPr>
              <w:t>Item 5.</w:t>
            </w:r>
          </w:p>
        </w:tc>
        <w:tc>
          <w:tcPr>
            <w:tcW w:w="93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Other Information</w:t>
            </w:r>
          </w:p>
        </w:tc>
        <w:tc>
          <w:tcPr>
            <w:tcW w:w="980" w:type="dxa"/>
            <w:vAlign w:val="bottom"/>
            <w:gridSpan w:val="5"/>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9"/>
              </w:rPr>
              <w:t>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40" w:type="dxa"/>
            <w:vAlign w:val="bottom"/>
            <w:gridSpan w:val="1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80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0000EE"/>
              </w:rPr>
              <w:t>Item 6.</w:t>
            </w:r>
          </w:p>
        </w:tc>
        <w:tc>
          <w:tcPr>
            <w:tcW w:w="93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Exhibits</w:t>
            </w:r>
          </w:p>
        </w:tc>
        <w:tc>
          <w:tcPr>
            <w:tcW w:w="980" w:type="dxa"/>
            <w:vAlign w:val="bottom"/>
            <w:gridSpan w:val="5"/>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9"/>
              </w:rPr>
              <w:t>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0" w:type="dxa"/>
            <w:vAlign w:val="bottom"/>
            <w:gridSpan w:val="1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3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Signatures</w:t>
            </w:r>
          </w:p>
        </w:tc>
        <w:tc>
          <w:tcPr>
            <w:tcW w:w="980" w:type="dxa"/>
            <w:vAlign w:val="bottom"/>
            <w:gridSpan w:val="5"/>
          </w:tcPr>
          <w:p>
            <w:pPr>
              <w:jc w:val="center"/>
              <w:spacing w:after="0" w:line="192" w:lineRule="exact"/>
              <w:rPr>
                <w:sz w:val="20"/>
                <w:szCs w:val="20"/>
                <w:color w:val="auto"/>
              </w:rPr>
            </w:pPr>
            <w:r>
              <w:rPr>
                <w:rFonts w:ascii="Times New Roman" w:cs="Times New Roman" w:eastAsia="Times New Roman" w:hAnsi="Times New Roman"/>
                <w:sz w:val="18"/>
                <w:szCs w:val="18"/>
                <w:color w:val="0000EE"/>
                <w:w w:val="99"/>
              </w:rPr>
              <w:t>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9"/>
        </w:trPr>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8"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4"/>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3"/>
        </w:trPr>
        <w:tc>
          <w:tcPr>
            <w:tcW w:w="8000" w:type="dxa"/>
            <w:vAlign w:val="bottom"/>
          </w:tcPr>
          <w:p>
            <w:pPr>
              <w:jc w:val="center"/>
              <w:ind w:left="3172"/>
              <w:spacing w:after="0"/>
              <w:rPr>
                <w:sz w:val="20"/>
                <w:szCs w:val="20"/>
                <w:color w:val="auto"/>
              </w:rPr>
            </w:pPr>
            <w:r>
              <w:rPr>
                <w:rFonts w:ascii="Times New Roman" w:cs="Times New Roman" w:eastAsia="Times New Roman" w:hAnsi="Times New Roman"/>
                <w:sz w:val="18"/>
                <w:szCs w:val="18"/>
                <w:b w:val="1"/>
                <w:bCs w:val="1"/>
                <w:color w:val="auto"/>
                <w:w w:val="96"/>
              </w:rPr>
              <w:t>SONO GROUP N.V.</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2"/>
        </w:trPr>
        <w:tc>
          <w:tcPr>
            <w:tcW w:w="8000" w:type="dxa"/>
            <w:vAlign w:val="bottom"/>
          </w:tcPr>
          <w:p>
            <w:pPr>
              <w:jc w:val="center"/>
              <w:ind w:left="3152"/>
              <w:spacing w:after="0"/>
              <w:rPr>
                <w:sz w:val="20"/>
                <w:szCs w:val="20"/>
                <w:color w:val="auto"/>
              </w:rPr>
            </w:pPr>
            <w:r>
              <w:rPr>
                <w:rFonts w:ascii="Times New Roman" w:cs="Times New Roman" w:eastAsia="Times New Roman" w:hAnsi="Times New Roman"/>
                <w:sz w:val="18"/>
                <w:szCs w:val="18"/>
                <w:b w:val="1"/>
                <w:bCs w:val="1"/>
                <w:color w:val="auto"/>
                <w:w w:val="97"/>
              </w:rPr>
              <w:t>CONDENSED CONSOLIDATED BALANCE SHEETS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2"/>
        </w:trPr>
        <w:tc>
          <w:tcPr>
            <w:tcW w:w="8000" w:type="dxa"/>
            <w:vAlign w:val="bottom"/>
          </w:tcPr>
          <w:p>
            <w:pPr>
              <w:jc w:val="center"/>
              <w:ind w:left="3152"/>
              <w:spacing w:after="0"/>
              <w:rPr>
                <w:sz w:val="20"/>
                <w:szCs w:val="20"/>
                <w:color w:val="auto"/>
              </w:rPr>
            </w:pPr>
            <w:r>
              <w:rPr>
                <w:rFonts w:ascii="Times New Roman" w:cs="Times New Roman" w:eastAsia="Times New Roman" w:hAnsi="Times New Roman"/>
                <w:sz w:val="18"/>
                <w:szCs w:val="18"/>
                <w:b w:val="1"/>
                <w:bCs w:val="1"/>
                <w:color w:val="auto"/>
                <w:w w:val="97"/>
              </w:rPr>
              <w:t>(Amounts in thousands, except share and per share amounts)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3"/>
        </w:trPr>
        <w:tc>
          <w:tcPr>
            <w:tcW w:w="8000" w:type="dxa"/>
            <w:vAlign w:val="bottom"/>
          </w:tcPr>
          <w:p>
            <w:pPr>
              <w:jc w:val="center"/>
              <w:ind w:left="3152"/>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3"/>
        </w:trPr>
        <w:tc>
          <w:tcPr>
            <w:tcW w:w="8000" w:type="dxa"/>
            <w:vAlign w:val="bottom"/>
          </w:tcPr>
          <w:p>
            <w:pPr>
              <w:spacing w:after="0"/>
              <w:rPr>
                <w:sz w:val="24"/>
                <w:szCs w:val="24"/>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December 31, 2025</w:t>
            </w:r>
          </w:p>
        </w:tc>
      </w:tr>
      <w:tr>
        <w:trPr>
          <w:trHeight w:val="205"/>
        </w:trPr>
        <w:tc>
          <w:tcPr>
            <w:tcW w:w="8000" w:type="dxa"/>
            <w:vAlign w:val="bottom"/>
          </w:tcPr>
          <w:p>
            <w:pPr>
              <w:spacing w:after="0"/>
              <w:rPr>
                <w:sz w:val="17"/>
                <w:szCs w:val="17"/>
                <w:color w:val="auto"/>
              </w:rPr>
            </w:pPr>
          </w:p>
        </w:tc>
        <w:tc>
          <w:tcPr>
            <w:tcW w:w="1580" w:type="dxa"/>
            <w:vAlign w:val="bottom"/>
            <w:tcBorders>
              <w:top w:val="single" w:sz="8" w:color="auto"/>
            </w:tcBorders>
          </w:tcPr>
          <w:p>
            <w:pPr>
              <w:jc w:val="right"/>
              <w:ind w:right="512"/>
              <w:spacing w:after="0" w:line="205" w:lineRule="exact"/>
              <w:rPr>
                <w:sz w:val="20"/>
                <w:szCs w:val="20"/>
                <w:color w:val="auto"/>
              </w:rPr>
            </w:pPr>
            <w:r>
              <w:rPr>
                <w:rFonts w:ascii="Times New Roman" w:cs="Times New Roman" w:eastAsia="Times New Roman" w:hAnsi="Times New Roman"/>
                <w:sz w:val="18"/>
                <w:szCs w:val="18"/>
                <w:color w:val="auto"/>
              </w:rPr>
              <w:t>KUSD</w:t>
            </w:r>
          </w:p>
        </w:tc>
        <w:tc>
          <w:tcPr>
            <w:tcW w:w="120" w:type="dxa"/>
            <w:vAlign w:val="bottom"/>
          </w:tcPr>
          <w:p>
            <w:pPr>
              <w:spacing w:after="0"/>
              <w:rPr>
                <w:sz w:val="17"/>
                <w:szCs w:val="17"/>
                <w:color w:val="auto"/>
              </w:rPr>
            </w:pPr>
          </w:p>
        </w:tc>
        <w:tc>
          <w:tcPr>
            <w:tcW w:w="1540" w:type="dxa"/>
            <w:vAlign w:val="bottom"/>
            <w:tcBorders>
              <w:top w:val="single" w:sz="8" w:color="auto"/>
            </w:tcBorders>
          </w:tcPr>
          <w:p>
            <w:pPr>
              <w:jc w:val="right"/>
              <w:ind w:right="492"/>
              <w:spacing w:after="0" w:line="205" w:lineRule="exact"/>
              <w:rPr>
                <w:sz w:val="20"/>
                <w:szCs w:val="20"/>
                <w:color w:val="auto"/>
              </w:rPr>
            </w:pPr>
            <w:r>
              <w:rPr>
                <w:rFonts w:ascii="Times New Roman" w:cs="Times New Roman" w:eastAsia="Times New Roman" w:hAnsi="Times New Roman"/>
                <w:sz w:val="18"/>
                <w:szCs w:val="18"/>
                <w:color w:val="auto"/>
              </w:rPr>
              <w:t>KUSD</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243</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 / Bitcoin treasury</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4,709</w:t>
            </w:r>
          </w:p>
        </w:tc>
        <w:tc>
          <w:tcPr>
            <w:tcW w:w="12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taxes and VAT receivables</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of discontinued operations classified as held for sale, including right-of-use assets</w:t>
            </w:r>
          </w:p>
        </w:tc>
        <w:tc>
          <w:tcPr>
            <w:tcW w:w="15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1,169</w:t>
            </w:r>
          </w:p>
        </w:tc>
      </w:tr>
      <w:tr>
        <w:trPr>
          <w:trHeight w:val="205"/>
        </w:trPr>
        <w:tc>
          <w:tcPr>
            <w:tcW w:w="800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color w:val="auto"/>
              </w:rPr>
              <w:t>Total Assets</w:t>
            </w:r>
          </w:p>
        </w:tc>
        <w:tc>
          <w:tcPr>
            <w:tcW w:w="1580" w:type="dxa"/>
            <w:vAlign w:val="bottom"/>
            <w:tcBorders>
              <w:bottom w:val="single" w:sz="8" w:color="auto"/>
            </w:tcBorders>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6,038</w:t>
            </w: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1,671</w:t>
            </w:r>
          </w:p>
        </w:tc>
      </w:tr>
      <w:tr>
        <w:trPr>
          <w:trHeight w:val="205"/>
        </w:trPr>
        <w:tc>
          <w:tcPr>
            <w:tcW w:w="80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814</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payable, net of discount</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 — embedded conversion features</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3,708</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 — written covered Bitcoin call options</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of discontinued operations classified as held for sale, including lease liabilities</w:t>
            </w:r>
          </w:p>
        </w:tc>
        <w:tc>
          <w:tcPr>
            <w:tcW w:w="15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983</w:t>
            </w:r>
          </w:p>
        </w:tc>
      </w:tr>
      <w:tr>
        <w:trPr>
          <w:trHeight w:val="205"/>
        </w:trPr>
        <w:tc>
          <w:tcPr>
            <w:tcW w:w="800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color w:val="auto"/>
              </w:rPr>
              <w:t>Total Liabilities</w:t>
            </w:r>
          </w:p>
        </w:tc>
        <w:tc>
          <w:tcPr>
            <w:tcW w:w="1580" w:type="dxa"/>
            <w:vAlign w:val="bottom"/>
            <w:tcBorders>
              <w:bottom w:val="single" w:sz="8" w:color="auto"/>
            </w:tcBorders>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6,516</w:t>
            </w: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1,797</w:t>
            </w:r>
          </w:p>
        </w:tc>
      </w:tr>
      <w:tr>
        <w:trPr>
          <w:trHeight w:val="205"/>
        </w:trPr>
        <w:tc>
          <w:tcPr>
            <w:tcW w:w="80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14)</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2"/>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94"/>
        </w:trPr>
        <w:tc>
          <w:tcPr>
            <w:tcW w:w="80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Preferred Shares, par value €300.00 per share, 1,401 shares authorized, 1,401 and 1,401 shares issued and</w:t>
            </w: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2026 and December 31, 2025, respectively</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456</w:t>
            </w:r>
          </w:p>
        </w:tc>
      </w:tr>
      <w:tr>
        <w:trPr>
          <w:trHeight w:val="194"/>
        </w:trPr>
        <w:tc>
          <w:tcPr>
            <w:tcW w:w="8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Ordinary Shares, par value €0.01 per share, 120,000,000 shares authorized, 1,424,834 and 1,424,834 shares</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as of March 31, 2026 and December 31, 2025, respectively</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r>
      <w:tr>
        <w:trPr>
          <w:trHeight w:val="194"/>
        </w:trPr>
        <w:tc>
          <w:tcPr>
            <w:tcW w:w="80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w w:val="99"/>
              </w:rPr>
              <w:t>High Voting Shares, par value €0.25 per share, 40,000 shares authorized, 40,000 shares issued and outstanding</w:t>
            </w: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March 31, 2026 and December 31, 2025, respectively</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343,504</w:t>
            </w:r>
          </w:p>
        </w:tc>
        <w:tc>
          <w:tcPr>
            <w:tcW w:w="12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342,084</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(335,405)</w:t>
            </w:r>
          </w:p>
        </w:tc>
        <w:tc>
          <w:tcPr>
            <w:tcW w:w="12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(333,390)</w:t>
            </w:r>
          </w:p>
        </w:tc>
      </w:tr>
      <w:tr>
        <w:trPr>
          <w:trHeight w:val="205"/>
        </w:trPr>
        <w:tc>
          <w:tcPr>
            <w:tcW w:w="800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5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(9,057)</w:t>
            </w: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(9,300)</w:t>
            </w:r>
          </w:p>
        </w:tc>
      </w:tr>
      <w:tr>
        <w:trPr>
          <w:trHeight w:val="205"/>
        </w:trPr>
        <w:tc>
          <w:tcPr>
            <w:tcW w:w="80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Shareholders’ Equity</w:t>
            </w:r>
          </w:p>
        </w:tc>
        <w:tc>
          <w:tcPr>
            <w:tcW w:w="15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(126)</w:t>
            </w:r>
          </w:p>
        </w:tc>
      </w:tr>
      <w:tr>
        <w:trPr>
          <w:trHeight w:val="205"/>
        </w:trPr>
        <w:tc>
          <w:tcPr>
            <w:tcW w:w="80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5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6,038</w:t>
            </w:r>
          </w:p>
        </w:tc>
        <w:tc>
          <w:tcPr>
            <w:tcW w:w="12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1,671</w:t>
            </w:r>
          </w:p>
        </w:tc>
      </w:tr>
      <w:tr>
        <w:trPr>
          <w:trHeight w:val="418"/>
        </w:trPr>
        <w:tc>
          <w:tcPr>
            <w:tcW w:w="9700" w:type="dxa"/>
            <w:vAlign w:val="bottom"/>
            <w:gridSpan w:val="3"/>
          </w:tcPr>
          <w:p>
            <w:pPr>
              <w:jc w:val="center"/>
              <w:ind w:left="1452"/>
              <w:spacing w:after="0"/>
              <w:rPr>
                <w:sz w:val="20"/>
                <w:szCs w:val="20"/>
                <w:color w:val="auto"/>
              </w:rPr>
            </w:pPr>
            <w:r>
              <w:rPr>
                <w:rFonts w:ascii="Times New Roman" w:cs="Times New Roman" w:eastAsia="Times New Roman" w:hAnsi="Times New Roman"/>
                <w:sz w:val="18"/>
                <w:szCs w:val="18"/>
                <w:i w:val="1"/>
                <w:iCs w:val="1"/>
                <w:color w:val="auto"/>
                <w:w w:val="98"/>
              </w:rPr>
              <w:t>See accompanying Notes to the unaudited Condensed Consolidated Financial Statements.</w:t>
            </w:r>
          </w:p>
        </w:tc>
        <w:tc>
          <w:tcPr>
            <w:tcW w:w="1540" w:type="dxa"/>
            <w:vAlign w:val="bottom"/>
          </w:tcPr>
          <w:p>
            <w:pPr>
              <w:spacing w:after="0"/>
              <w:rPr>
                <w:sz w:val="24"/>
                <w:szCs w:val="24"/>
                <w:color w:val="auto"/>
              </w:rPr>
            </w:pPr>
          </w:p>
        </w:tc>
      </w:tr>
      <w:tr>
        <w:trPr>
          <w:trHeight w:val="424"/>
        </w:trPr>
        <w:tc>
          <w:tcPr>
            <w:tcW w:w="8000" w:type="dxa"/>
            <w:vAlign w:val="bottom"/>
          </w:tcPr>
          <w:p>
            <w:pPr>
              <w:jc w:val="center"/>
              <w:ind w:left="3152"/>
              <w:spacing w:after="0"/>
              <w:rPr>
                <w:sz w:val="20"/>
                <w:szCs w:val="20"/>
                <w:color w:val="auto"/>
              </w:rPr>
            </w:pPr>
            <w:r>
              <w:rPr>
                <w:rFonts w:ascii="Times New Roman" w:cs="Times New Roman" w:eastAsia="Times New Roman" w:hAnsi="Times New Roman"/>
                <w:sz w:val="18"/>
                <w:szCs w:val="18"/>
                <w:color w:val="auto"/>
                <w:w w:val="88"/>
              </w:rPr>
              <w:t>1</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1"/>
        </w:trPr>
        <w:tc>
          <w:tcPr>
            <w:tcW w:w="80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4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7"/>
              </w:rPr>
              <w:t>For the three months ended March 31,</w:t>
            </w:r>
          </w:p>
        </w:tc>
      </w:tr>
      <w:tr>
        <w:trPr>
          <w:trHeight w:val="205"/>
        </w:trPr>
        <w:tc>
          <w:tcPr>
            <w:tcW w:w="80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92"/>
              <w:spacing w:after="0" w:line="205" w:lineRule="exact"/>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2"/>
              <w:spacing w:after="0" w:line="205"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205"/>
        </w:trPr>
        <w:tc>
          <w:tcPr>
            <w:tcW w:w="8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512"/>
              <w:spacing w:after="0" w:line="205" w:lineRule="exact"/>
              <w:rPr>
                <w:sz w:val="20"/>
                <w:szCs w:val="20"/>
                <w:color w:val="auto"/>
              </w:rPr>
            </w:pPr>
            <w:r>
              <w:rPr>
                <w:rFonts w:ascii="Times New Roman" w:cs="Times New Roman" w:eastAsia="Times New Roman" w:hAnsi="Times New Roman"/>
                <w:sz w:val="18"/>
                <w:szCs w:val="18"/>
                <w:color w:val="auto"/>
              </w:rPr>
              <w:t>KUSD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492"/>
              <w:spacing w:after="0" w:line="205" w:lineRule="exact"/>
              <w:rPr>
                <w:sz w:val="20"/>
                <w:szCs w:val="20"/>
                <w:color w:val="auto"/>
              </w:rPr>
            </w:pPr>
            <w:r>
              <w:rPr>
                <w:rFonts w:ascii="Times New Roman" w:cs="Times New Roman" w:eastAsia="Times New Roman" w:hAnsi="Times New Roman"/>
                <w:sz w:val="18"/>
                <w:szCs w:val="18"/>
                <w:color w:val="auto"/>
              </w:rPr>
              <w:t>KUSD</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 treasury loss, net</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05"/>
        </w:trPr>
        <w:tc>
          <w:tcPr>
            <w:tcW w:w="80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(1,480)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(1,018)</w:t>
            </w:r>
          </w:p>
        </w:tc>
      </w:tr>
      <w:tr>
        <w:trPr>
          <w:trHeight w:val="205"/>
        </w:trPr>
        <w:tc>
          <w:tcPr>
            <w:tcW w:w="8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Gain on change in fair value of convertible notes payable carried at fair value</w:t>
            </w:r>
          </w:p>
        </w:tc>
        <w:tc>
          <w:tcPr>
            <w:tcW w:w="10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10,331</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change in fair value of embedded derivative liabilities</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loss, net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5"/>
        </w:trPr>
        <w:tc>
          <w:tcPr>
            <w:tcW w:w="800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478</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10,318</w:t>
            </w:r>
          </w:p>
        </w:tc>
      </w:tr>
      <w:tr>
        <w:trPr>
          <w:trHeight w:val="205"/>
        </w:trPr>
        <w:tc>
          <w:tcPr>
            <w:tcW w:w="8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9,300</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9,300</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12"/>
        </w:trPr>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 (loss)</w:t>
            </w: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7,802</w:t>
            </w:r>
          </w:p>
        </w:tc>
      </w:tr>
      <w:tr>
        <w:trPr>
          <w:trHeight w:val="205"/>
        </w:trPr>
        <w:tc>
          <w:tcPr>
            <w:tcW w:w="8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to common shareholders - basic:</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2"/>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18"/>
                <w:szCs w:val="18"/>
                <w:color w:val="auto"/>
              </w:rPr>
            </w:pP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6.41</w:t>
            </w:r>
          </w:p>
        </w:tc>
      </w:tr>
      <w:tr>
        <w:trPr>
          <w:trHeight w:val="21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2"/>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(loss)/income per share - 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8"/>
                <w:szCs w:val="18"/>
                <w:color w:val="auto"/>
              </w:rPr>
            </w:pP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5.38</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to common shareholders - diluted:</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2"/>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18"/>
                <w:szCs w:val="18"/>
                <w:color w:val="auto"/>
              </w:rPr>
            </w:pP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0.90</w:t>
            </w:r>
          </w:p>
        </w:tc>
      </w:tr>
      <w:tr>
        <w:trPr>
          <w:trHeight w:val="21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12"/>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(loss)/income per share -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8"/>
                <w:szCs w:val="18"/>
                <w:color w:val="auto"/>
              </w:rPr>
            </w:pP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0.75</w:t>
            </w:r>
          </w:p>
        </w:tc>
      </w:tr>
      <w:tr>
        <w:trPr>
          <w:trHeight w:val="212"/>
        </w:trPr>
        <w:tc>
          <w:tcPr>
            <w:tcW w:w="8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1,464,834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1,449,918</w:t>
            </w:r>
          </w:p>
        </w:tc>
      </w:tr>
      <w:tr>
        <w:trPr>
          <w:trHeight w:val="231"/>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1,464,834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10,302,853</w:t>
            </w:r>
          </w:p>
        </w:tc>
      </w:tr>
    </w:tbl>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5" w:name="page6"/>
    <w:bookmarkEnd w:id="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12"/>
              <w:spacing w:after="0" w:line="205" w:lineRule="exact"/>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52"/>
              <w:spacing w:after="0" w:line="205"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205"/>
        </w:trPr>
        <w:tc>
          <w:tcPr>
            <w:tcW w:w="8000" w:type="dxa"/>
            <w:vAlign w:val="bottom"/>
          </w:tcPr>
          <w:p>
            <w:pPr>
              <w:spacing w:after="0"/>
              <w:rPr>
                <w:sz w:val="17"/>
                <w:szCs w:val="17"/>
                <w:color w:val="auto"/>
              </w:rPr>
            </w:pPr>
          </w:p>
        </w:tc>
        <w:tc>
          <w:tcPr>
            <w:tcW w:w="1000" w:type="dxa"/>
            <w:vAlign w:val="bottom"/>
          </w:tcPr>
          <w:p>
            <w:pPr>
              <w:jc w:val="center"/>
              <w:ind w:left="392"/>
              <w:spacing w:after="0" w:line="205" w:lineRule="exact"/>
              <w:rPr>
                <w:sz w:val="20"/>
                <w:szCs w:val="20"/>
                <w:color w:val="auto"/>
              </w:rPr>
            </w:pPr>
            <w:r>
              <w:rPr>
                <w:rFonts w:ascii="Times New Roman" w:cs="Times New Roman" w:eastAsia="Times New Roman" w:hAnsi="Times New Roman"/>
                <w:sz w:val="18"/>
                <w:szCs w:val="18"/>
                <w:color w:val="auto"/>
                <w:w w:val="97"/>
              </w:rPr>
              <w:t>KUSD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492"/>
              <w:spacing w:after="0" w:line="205" w:lineRule="exact"/>
              <w:rPr>
                <w:sz w:val="20"/>
                <w:szCs w:val="20"/>
                <w:color w:val="auto"/>
              </w:rPr>
            </w:pPr>
            <w:r>
              <w:rPr>
                <w:rFonts w:ascii="Times New Roman" w:cs="Times New Roman" w:eastAsia="Times New Roman" w:hAnsi="Times New Roman"/>
                <w:sz w:val="18"/>
                <w:szCs w:val="18"/>
                <w:color w:val="auto"/>
              </w:rPr>
              <w:t>KUSD</w:t>
            </w:r>
          </w:p>
        </w:tc>
      </w:tr>
      <w:tr>
        <w:trPr>
          <w:trHeight w:val="212"/>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(2,015)</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7,802</w:t>
            </w:r>
          </w:p>
        </w:tc>
      </w:tr>
      <w:tr>
        <w:trPr>
          <w:trHeight w:val="212"/>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2"/>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1,738</w:t>
            </w:r>
          </w:p>
        </w:tc>
      </w:tr>
      <w:tr>
        <w:trPr>
          <w:trHeight w:val="212"/>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1,738</w:t>
            </w:r>
          </w:p>
        </w:tc>
      </w:tr>
      <w:tr>
        <w:trPr>
          <w:trHeight w:val="205"/>
        </w:trPr>
        <w:tc>
          <w:tcPr>
            <w:tcW w:w="80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Comprehensive income (loss)</w:t>
            </w:r>
          </w:p>
        </w:tc>
        <w:tc>
          <w:tcPr>
            <w:tcW w:w="100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95"/>
              </w:rPr>
              <w:t>(1,772)</w:t>
            </w:r>
          </w:p>
        </w:tc>
        <w:tc>
          <w:tcPr>
            <w:tcW w:w="1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bottom w:val="single" w:sz="8" w:color="auto"/>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9,540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6" w:name="page7"/>
    <w:bookmarkEnd w:id="6"/>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Accumulated</w:t>
            </w: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High</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Other</w:t>
            </w: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Ordinary</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Voting</w:t>
            </w:r>
          </w:p>
        </w:tc>
        <w:tc>
          <w:tcPr>
            <w:tcW w:w="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High</w:t>
            </w: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Additional</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Comprehensive</w:t>
            </w: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2"/>
        </w:trPr>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Ordinary</w:t>
            </w: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Shares</w:t>
            </w:r>
          </w:p>
        </w:tc>
        <w:tc>
          <w:tcPr>
            <w:tcW w:w="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Voting</w:t>
            </w:r>
          </w:p>
        </w:tc>
        <w:tc>
          <w:tcPr>
            <w:tcW w:w="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Preferred</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Preferred</w:t>
            </w: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Paid in</w:t>
            </w:r>
          </w:p>
        </w:tc>
        <w:tc>
          <w:tcPr>
            <w:tcW w:w="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Accumulated</w:t>
            </w:r>
          </w:p>
        </w:tc>
        <w:tc>
          <w:tcPr>
            <w:tcW w:w="6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Income /</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Shareholder’s Equity</w:t>
            </w:r>
          </w:p>
        </w:tc>
      </w:tr>
      <w:tr>
        <w:trPr>
          <w:trHeight w:val="230"/>
        </w:trPr>
        <w:tc>
          <w:tcPr>
            <w:tcW w:w="110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Outstanding</w:t>
            </w:r>
          </w:p>
        </w:tc>
        <w:tc>
          <w:tcPr>
            <w:tcW w:w="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Outstanding</w:t>
            </w:r>
          </w:p>
        </w:tc>
        <w:tc>
          <w:tcPr>
            <w:tcW w:w="6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Shares Outstanding</w:t>
            </w:r>
          </w:p>
        </w:tc>
        <w:tc>
          <w:tcPr>
            <w:tcW w:w="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Shares</w:t>
            </w:r>
          </w:p>
        </w:tc>
        <w:tc>
          <w:tcPr>
            <w:tcW w:w="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Capital</w:t>
            </w:r>
          </w:p>
        </w:tc>
        <w:tc>
          <w:tcPr>
            <w:tcW w:w="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Deficit</w:t>
            </w:r>
          </w:p>
        </w:tc>
        <w:tc>
          <w:tcPr>
            <w:tcW w:w="60" w:type="dxa"/>
            <w:vAlign w:val="bottom"/>
          </w:tcPr>
          <w:p>
            <w:pPr>
              <w:spacing w:after="0"/>
              <w:rPr>
                <w:sz w:val="20"/>
                <w:szCs w:val="20"/>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(Loss)</w:t>
            </w: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6"/>
              </w:rPr>
              <w:t>(Deficit)</w:t>
            </w:r>
          </w:p>
        </w:tc>
      </w:tr>
      <w:tr>
        <w:trPr>
          <w:trHeight w:val="225"/>
        </w:trPr>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60" w:type="dxa"/>
            <w:vAlign w:val="bottom"/>
          </w:tcPr>
          <w:p>
            <w:pPr>
              <w:spacing w:after="0"/>
              <w:rPr>
                <w:sz w:val="19"/>
                <w:szCs w:val="19"/>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KUSD</w:t>
            </w:r>
          </w:p>
        </w:tc>
        <w:tc>
          <w:tcPr>
            <w:tcW w:w="6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60" w:type="dxa"/>
            <w:vAlign w:val="bottom"/>
          </w:tcPr>
          <w:p>
            <w:pPr>
              <w:spacing w:after="0"/>
              <w:rPr>
                <w:sz w:val="19"/>
                <w:szCs w:val="19"/>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KUSD</w:t>
            </w:r>
          </w:p>
        </w:tc>
        <w:tc>
          <w:tcPr>
            <w:tcW w:w="40" w:type="dxa"/>
            <w:vAlign w:val="bottom"/>
          </w:tcPr>
          <w:p>
            <w:pPr>
              <w:spacing w:after="0"/>
              <w:rPr>
                <w:sz w:val="19"/>
                <w:szCs w:val="19"/>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60" w:type="dxa"/>
            <w:vAlign w:val="bottom"/>
          </w:tcPr>
          <w:p>
            <w:pPr>
              <w:spacing w:after="0"/>
              <w:rPr>
                <w:sz w:val="19"/>
                <w:szCs w:val="19"/>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KUSD</w:t>
            </w:r>
          </w:p>
        </w:tc>
        <w:tc>
          <w:tcPr>
            <w:tcW w:w="60" w:type="dxa"/>
            <w:vAlign w:val="bottom"/>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KUSD</w:t>
            </w:r>
          </w:p>
        </w:tc>
        <w:tc>
          <w:tcPr>
            <w:tcW w:w="6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KUSD</w:t>
            </w:r>
          </w:p>
        </w:tc>
        <w:tc>
          <w:tcPr>
            <w:tcW w:w="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KUSD</w:t>
            </w:r>
          </w:p>
        </w:tc>
      </w:tr>
      <w:tr>
        <w:trPr>
          <w:trHeight w:val="193"/>
        </w:trPr>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1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 at</w:t>
            </w: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1,409,885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322,475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(347,013)</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(25,698)</w:t>
            </w:r>
          </w:p>
        </w:tc>
      </w:tr>
      <w:tr>
        <w:trPr>
          <w:trHeight w:val="212"/>
        </w:trPr>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1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Issuance of</w:t>
            </w: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in</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reverse</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split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40" w:type="dxa"/>
            <w:vAlign w:val="bottom"/>
          </w:tcPr>
          <w:p>
            <w:pPr>
              <w:spacing w:after="0"/>
              <w:rPr>
                <w:sz w:val="18"/>
                <w:szCs w:val="18"/>
                <w:color w:val="auto"/>
              </w:rPr>
            </w:pPr>
          </w:p>
        </w:tc>
      </w:tr>
      <w:tr>
        <w:trPr>
          <w:trHeight w:val="194"/>
        </w:trPr>
        <w:tc>
          <w:tcPr>
            <w:tcW w:w="1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comprehensive</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w:t>
            </w: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1,738</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40" w:type="dxa"/>
            <w:vAlign w:val="bottom"/>
            <w:shd w:val="clear" w:color="auto" w:fill="CCEEFF"/>
          </w:tcPr>
          <w:p>
            <w:pPr>
              <w:spacing w:after="0"/>
              <w:rPr>
                <w:sz w:val="20"/>
                <w:szCs w:val="20"/>
                <w:color w:val="auto"/>
              </w:rPr>
            </w:pPr>
          </w:p>
        </w:tc>
      </w:tr>
      <w:tr>
        <w:trPr>
          <w:trHeight w:val="212"/>
        </w:trPr>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1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 at</w:t>
            </w: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1,409,921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322,475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(339,211)</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(16,158)</w:t>
            </w:r>
          </w:p>
        </w:tc>
      </w:tr>
      <w:tr>
        <w:trPr>
          <w:trHeight w:val="406"/>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Accumulated</w:t>
            </w: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2"/>
        </w:trPr>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High</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Other</w:t>
            </w: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Ordinary</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Voting</w:t>
            </w:r>
          </w:p>
        </w:tc>
        <w:tc>
          <w:tcPr>
            <w:tcW w:w="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High</w:t>
            </w: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Additional</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Comprehensive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2"/>
        </w:trPr>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Ordinary</w:t>
            </w: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Shares</w:t>
            </w:r>
          </w:p>
        </w:tc>
        <w:tc>
          <w:tcPr>
            <w:tcW w:w="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Voting</w:t>
            </w:r>
          </w:p>
        </w:tc>
        <w:tc>
          <w:tcPr>
            <w:tcW w:w="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Preferred</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Preferred</w:t>
            </w: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Paid in</w:t>
            </w:r>
          </w:p>
        </w:tc>
        <w:tc>
          <w:tcPr>
            <w:tcW w:w="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Accumulated</w:t>
            </w:r>
          </w:p>
        </w:tc>
        <w:tc>
          <w:tcPr>
            <w:tcW w:w="6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Income /</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Shareholder’s Equity</w:t>
            </w:r>
          </w:p>
        </w:tc>
      </w:tr>
      <w:tr>
        <w:trPr>
          <w:trHeight w:val="230"/>
        </w:trPr>
        <w:tc>
          <w:tcPr>
            <w:tcW w:w="110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Outstanding</w:t>
            </w:r>
          </w:p>
        </w:tc>
        <w:tc>
          <w:tcPr>
            <w:tcW w:w="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Outstanding</w:t>
            </w:r>
          </w:p>
        </w:tc>
        <w:tc>
          <w:tcPr>
            <w:tcW w:w="6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Shares Outstanding</w:t>
            </w:r>
          </w:p>
        </w:tc>
        <w:tc>
          <w:tcPr>
            <w:tcW w:w="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Shares</w:t>
            </w:r>
          </w:p>
        </w:tc>
        <w:tc>
          <w:tcPr>
            <w:tcW w:w="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Capital</w:t>
            </w:r>
          </w:p>
        </w:tc>
        <w:tc>
          <w:tcPr>
            <w:tcW w:w="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Deficit</w:t>
            </w:r>
          </w:p>
        </w:tc>
        <w:tc>
          <w:tcPr>
            <w:tcW w:w="60" w:type="dxa"/>
            <w:vAlign w:val="bottom"/>
          </w:tcPr>
          <w:p>
            <w:pPr>
              <w:spacing w:after="0"/>
              <w:rPr>
                <w:sz w:val="20"/>
                <w:szCs w:val="20"/>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(Loss)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(Deficit)</w:t>
            </w:r>
          </w:p>
        </w:tc>
      </w:tr>
      <w:tr>
        <w:trPr>
          <w:trHeight w:val="225"/>
        </w:trPr>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60" w:type="dxa"/>
            <w:vAlign w:val="bottom"/>
          </w:tcPr>
          <w:p>
            <w:pPr>
              <w:spacing w:after="0"/>
              <w:rPr>
                <w:sz w:val="19"/>
                <w:szCs w:val="19"/>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KUSD</w:t>
            </w:r>
          </w:p>
        </w:tc>
        <w:tc>
          <w:tcPr>
            <w:tcW w:w="6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60" w:type="dxa"/>
            <w:vAlign w:val="bottom"/>
          </w:tcPr>
          <w:p>
            <w:pPr>
              <w:spacing w:after="0"/>
              <w:rPr>
                <w:sz w:val="19"/>
                <w:szCs w:val="19"/>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KUSD</w:t>
            </w:r>
          </w:p>
        </w:tc>
        <w:tc>
          <w:tcPr>
            <w:tcW w:w="40" w:type="dxa"/>
            <w:vAlign w:val="bottom"/>
          </w:tcPr>
          <w:p>
            <w:pPr>
              <w:spacing w:after="0"/>
              <w:rPr>
                <w:sz w:val="19"/>
                <w:szCs w:val="19"/>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60" w:type="dxa"/>
            <w:vAlign w:val="bottom"/>
          </w:tcPr>
          <w:p>
            <w:pPr>
              <w:spacing w:after="0"/>
              <w:rPr>
                <w:sz w:val="19"/>
                <w:szCs w:val="19"/>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KUSD</w:t>
            </w:r>
          </w:p>
        </w:tc>
        <w:tc>
          <w:tcPr>
            <w:tcW w:w="60" w:type="dxa"/>
            <w:vAlign w:val="bottom"/>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KUSD</w:t>
            </w:r>
          </w:p>
        </w:tc>
        <w:tc>
          <w:tcPr>
            <w:tcW w:w="6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KUSD</w:t>
            </w:r>
          </w:p>
        </w:tc>
        <w:tc>
          <w:tcPr>
            <w:tcW w:w="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KUSD</w:t>
            </w:r>
          </w:p>
        </w:tc>
        <w:tc>
          <w:tcPr>
            <w:tcW w:w="40" w:type="dxa"/>
            <w:vAlign w:val="bottom"/>
          </w:tcPr>
          <w:p>
            <w:pPr>
              <w:spacing w:after="0"/>
              <w:rPr>
                <w:sz w:val="19"/>
                <w:szCs w:val="19"/>
                <w:color w:val="auto"/>
              </w:rPr>
            </w:pPr>
          </w:p>
        </w:tc>
      </w:tr>
      <w:tr>
        <w:trPr>
          <w:trHeight w:val="193"/>
        </w:trPr>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1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 at</w:t>
            </w: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1,424,834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342,084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(333,390)</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20"/>
                <w:szCs w:val="20"/>
                <w:color w:val="auto"/>
              </w:rPr>
            </w:pPr>
          </w:p>
        </w:tc>
      </w:tr>
      <w:tr>
        <w:trPr>
          <w:trHeight w:val="212"/>
        </w:trPr>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1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Issuance of</w:t>
            </w: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allocated</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APIC</w:t>
            </w: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40" w:type="dxa"/>
            <w:vAlign w:val="bottom"/>
          </w:tcPr>
          <w:p>
            <w:pPr>
              <w:spacing w:after="0"/>
              <w:rPr>
                <w:sz w:val="20"/>
                <w:szCs w:val="20"/>
                <w:color w:val="auto"/>
              </w:rPr>
            </w:pPr>
          </w:p>
        </w:tc>
      </w:tr>
      <w:tr>
        <w:trPr>
          <w:trHeight w:val="194"/>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Net income</w:t>
            </w: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(loss)</w:t>
            </w: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0" w:type="dxa"/>
            <w:vAlign w:val="bottom"/>
          </w:tcPr>
          <w:p>
            <w:pPr>
              <w:spacing w:after="0"/>
              <w:rPr>
                <w:sz w:val="20"/>
                <w:szCs w:val="20"/>
                <w:color w:val="auto"/>
              </w:rPr>
            </w:pPr>
          </w:p>
        </w:tc>
      </w:tr>
      <w:tr>
        <w:trPr>
          <w:trHeight w:val="194"/>
        </w:trPr>
        <w:tc>
          <w:tcPr>
            <w:tcW w:w="1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comprehensive</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w:t>
            </w: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0" w:type="dxa"/>
            <w:vAlign w:val="bottom"/>
          </w:tcPr>
          <w:p>
            <w:pPr>
              <w:spacing w:after="0"/>
              <w:rPr>
                <w:sz w:val="20"/>
                <w:szCs w:val="20"/>
                <w:color w:val="auto"/>
              </w:rPr>
            </w:pPr>
          </w:p>
        </w:tc>
      </w:tr>
      <w:tr>
        <w:trPr>
          <w:trHeight w:val="212"/>
        </w:trPr>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1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 at</w:t>
            </w: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1,424,834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(335,405)</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40" w:type="dxa"/>
            <w:vAlign w:val="bottom"/>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p>
      <w:pPr>
        <w:spacing w:after="0" w:line="2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808"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Pr>
          <w:p>
            <w:pPr>
              <w:spacing w:after="0"/>
              <w:rPr>
                <w:sz w:val="18"/>
                <w:szCs w:val="18"/>
                <w:color w:val="auto"/>
              </w:rPr>
            </w:pPr>
          </w:p>
        </w:tc>
        <w:tc>
          <w:tcPr>
            <w:tcW w:w="15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For the three</w:t>
            </w:r>
          </w:p>
        </w:tc>
        <w:tc>
          <w:tcPr>
            <w:tcW w:w="120" w:type="dxa"/>
            <w:vAlign w:val="bottom"/>
          </w:tcPr>
          <w:p>
            <w:pPr>
              <w:spacing w:after="0"/>
              <w:rPr>
                <w:sz w:val="18"/>
                <w:szCs w:val="18"/>
                <w:color w:val="auto"/>
              </w:rPr>
            </w:pPr>
          </w:p>
        </w:tc>
        <w:tc>
          <w:tcPr>
            <w:tcW w:w="15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For the three</w:t>
            </w:r>
          </w:p>
        </w:tc>
      </w:tr>
      <w:tr>
        <w:trPr>
          <w:trHeight w:val="212"/>
        </w:trPr>
        <w:tc>
          <w:tcPr>
            <w:tcW w:w="8000" w:type="dxa"/>
            <w:vAlign w:val="bottom"/>
          </w:tcPr>
          <w:p>
            <w:pPr>
              <w:spacing w:after="0"/>
              <w:rPr>
                <w:sz w:val="18"/>
                <w:szCs w:val="18"/>
                <w:color w:val="auto"/>
              </w:rPr>
            </w:pPr>
          </w:p>
        </w:tc>
        <w:tc>
          <w:tcPr>
            <w:tcW w:w="15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months ended</w:t>
            </w:r>
          </w:p>
        </w:tc>
        <w:tc>
          <w:tcPr>
            <w:tcW w:w="120" w:type="dxa"/>
            <w:vAlign w:val="bottom"/>
          </w:tcPr>
          <w:p>
            <w:pPr>
              <w:spacing w:after="0"/>
              <w:rPr>
                <w:sz w:val="18"/>
                <w:szCs w:val="18"/>
                <w:color w:val="auto"/>
              </w:rPr>
            </w:pPr>
          </w:p>
        </w:tc>
        <w:tc>
          <w:tcPr>
            <w:tcW w:w="15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months ended</w:t>
            </w:r>
          </w:p>
        </w:tc>
      </w:tr>
      <w:tr>
        <w:trPr>
          <w:trHeight w:val="232"/>
        </w:trPr>
        <w:tc>
          <w:tcPr>
            <w:tcW w:w="8000" w:type="dxa"/>
            <w:vAlign w:val="bottom"/>
          </w:tcPr>
          <w:p>
            <w:pPr>
              <w:spacing w:after="0"/>
              <w:rPr>
                <w:sz w:val="20"/>
                <w:szCs w:val="20"/>
                <w:color w:val="auto"/>
              </w:rPr>
            </w:pPr>
          </w:p>
        </w:tc>
        <w:tc>
          <w:tcPr>
            <w:tcW w:w="15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r>
      <w:tr>
        <w:trPr>
          <w:trHeight w:val="205"/>
        </w:trPr>
        <w:tc>
          <w:tcPr>
            <w:tcW w:w="80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6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7,802</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provided by (used in) operating activities: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6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written covered-call derivative income/loss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change in fair value of embedded conversion derivative liabilities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on classification as held for sale / impairment of discontinued operation</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change in fair value of convertible notes payable carried at fair value</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discount amortization noncash component</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and other noncash items</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275</w:t>
            </w:r>
          </w:p>
        </w:tc>
        <w:tc>
          <w:tcPr>
            <w:tcW w:w="16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taxes and VAT receivables</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assets and liabilities, including discontinued operations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595</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changes in operating assets and liabilities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(2,582)</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digital assets / Bitcoin treasury</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 other investing activity of discontinued operations</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convertible debentures / debt financing</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4,350</w:t>
            </w:r>
          </w:p>
        </w:tc>
        <w:tc>
          <w:tcPr>
            <w:tcW w:w="16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2,000</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pre-funded warrants</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6,350</w:t>
            </w:r>
          </w:p>
        </w:tc>
        <w:tc>
          <w:tcPr>
            <w:tcW w:w="16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2,000</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exchange-rate changes and held-for-sale cash presentation on cash and cash equivalents</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243</w:t>
            </w:r>
          </w:p>
        </w:tc>
        <w:tc>
          <w:tcPr>
            <w:tcW w:w="16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1,462</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237</w:t>
            </w:r>
          </w:p>
        </w:tc>
        <w:tc>
          <w:tcPr>
            <w:tcW w:w="16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865</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and investing activities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discount from derivative bifurcation</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4,041</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initial recognition</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5,383</w:t>
            </w:r>
          </w:p>
        </w:tc>
        <w:tc>
          <w:tcPr>
            <w:tcW w:w="12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 APIC allocation</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Bitcoin received as written-call premium</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bl>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Sono Group N.V. (“Sono N.V.”) is a public company with limited liability (naamloze vennootschap) incorporated under the laws of the Netherlands. The Company is registered in the business register at the Netherlands Chamber of Commerce (trade register number: 80683568).</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November 2021, the Company completed its initial public offering, and its ordinary shares commenced trading on The Nasdaq Global Market on November 17, 2021 under the ticker symbol “SEV”. On February 15, 2024, Nasdaq filed a Form 25 Notification of Delisting with the U.S. Securities and Exchange Commission (the “SEC”) to complete the delisting of the Company’s ordinary shares from Nasdaq. On July 2, 2024, the quoting of the Company’s ordinary shares commenced on OTCQB under the ticker symbol “SEVCF”. On September 4, 2025, the Company received approval to list its ordinary shares on Nasdaq, and the ordinary shares commenced trading on the Nasdaq Capital Market under the ticker symbol “SSM” on September 5, 2025.</w:t>
      </w:r>
    </w:p>
    <w:p>
      <w:pPr>
        <w:spacing w:after="0" w:line="1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business address of Sono N.V. as of the date of this Quarterly Report is 4965 Trinidad Drive, Land O’ Lakes, FL 34639, United States of America. As of March 31, 2026, Sono N.V.’s wholly-owned subsidiaries were (i) Sono Motors GmbH, a German limited liability company (Gesellschaft mit beschränkter Haftung) (the “Subsidiary”), registered in the commercial register (Handelsregister) at the local court (Amtsgericht) of Munich, Germany, under HRB 224131, with registered headquarters at Waldmeisterstraße 93, 80935 Munich, Germany, and (ii) Sono Group S.à r.l., a private limited liability company (société à responsabilité limitée) incorporated under the laws of the Grand Duchy of Luxembourg, having its registered office at 8 Avenue de la Gare, L-1610 Luxembourg, Grand Duchy of Luxembourg, which was funded with €12,000 for purposes of providing share capital and had no operations during the three months ended March 31, 2026. As of March 31, 2026, Sono N.V. was the ultimate parent of the Subsidiary and Sono Group S.à r.l. Subsequent to March 31, 2026, Sono N.V. sold the Subsidiary pursuant to a Share Purchase and Transfer Agreement, dated May 4, 2026 (the “SPA”), as a result of which Sono N.V. ceased to be the ultimate parent of the Subsidiary on May 4, 2026. Hereinafter, unless otherwise indicated or the context otherwise requires, the terms “Sono Group”, “Sono”, “the Company”, “we”, “our”, “us” or similar terms, refer to Sono N.V. together with its consolidated subsidiaries as of March 31, 2026.</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Sono Group historically intended to develop and manufacture electric vehicles with integrated solar panels (the “Sion passenger car program”) and to license its solar technology to other Original Equipment Manufacturers (“OEMs”). On February 24, 2023, the Company announced the decision to terminate the Sion passenger car program and to pivot the business model to exclusively retrofitting and integrating Sono Group’s solar technology onto third party vehicles due to lack of available funding. As a consequence, management determined to apply for the opening of self-administration proceedings with respect to Sono N.V. and the Subsidiary (the “Self-Administration Proceedings”) on May 15, 2023. The Subsidiary withdrew its application for Preliminary Self-Administration Proceedings on January 31, 2024, and the Subsidiary exited its Self-Administration Proceedings on February 29, 2024. The Company reconsolidated the Subsidiary effective March 1, 2024 following its exit from the Self-Administration Proceedings.</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March 14, 2026, the Company’s supervisory board resolved to terminate all current and future funding commitments to the Subsidiary and to exit the legacy solar operations conducted through the Subsidiary, with immediate effect. On the same date, the Company’s management board, with the approval of the supervisory board, adopted a digital asset treasury strategy (the “Treasury Strategy”). Under the Treasury Strategy, the principal holding in the Company’s treasury reserve on its balance sheet is allocated to digital assets, principally Bitcoin(“Bitcoin” or “BTC”), by applying a covered-call yield strategy. In connection with the Treasury Strategy, on March 10, 2026, the Company entered into a 2002 ISDA Master Agreement, a related Schedule and a Credit Support Annex with Blockchain.com (BVI) II Limited (“Blockchain.com”), facilitating the Company to enter into derivative and/or hedging transactions to manage the risk associated with the Treasury Strategy.</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of March 31, 2026, management concluded that the Subsidiary met the criteria to be classified as held for sale and that the planned disposition (which was completed subsequent to quarter end on May 4, 2026, as further described under Note 16 (Subsequent Events)) represents a strategic shift that has had, or will have, a major effect on the Company’s operations and financial results. Accordingly, the results of operations of the Subsidiary have been presented as discontinued operations, and the related assets and liabilities have been presented as assets and liabilities of discontinued operations classified as held for sale, for all periods presented. Subsequent to March 31, 2026, on May 4, 2026, the Company sold and transferred 100% of the outstanding share capital of the Subsidiary to third-party purchasers. See Note 3 (Liquidity and Going Concern Analysis), Note 4 (Discontinued Operations and Assets and Liabilities Held for Sale), Note 5 (Digital Assets), Note 6 (Written Covered Bitcoin Call Options), Note 8 (Convertible Notes, Embedded Derivatives and Pre-Funded Warrants) and Note 16 (Subsequent Events) for additional information.</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reflect all adjustments, including normal recurring adjustments, which, in the opinion of management, are necessary to present fairly the financial position, results of operations and cash flows for the periods presented in accordance with accounting principles generally accepted in the United States of America (“U.S. GAAP”).</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a consolidated basis, the Company’s operations during the three months ended March 31, 2026 and the three months ended March 31, 2025 are comprised of the parent company, Sono N.V., and the Subsidiary. All significant intercompany transactions and balances have been eliminated upon consolidation. Certain amounts in the prior period unaudited condensed consolidated financial statements have been reclassified to conform to the current period presentation, including the presentation of the Subsidiary as a discontinued operation. In addition, effective January 1, 2026, the Company changed its reporting currency from the euro to the U.S. dollar, and all prior-period financial information presented in these unaudited condensed consolidated financial statements has been recast into U.S. dollars as if the U.S. dollar had been the Company’s reporting currency since the earliest period presented. See Note 2 (Basis of Presentation, Consolidation and Summary of Significant Accounting Policies) for additional information regarding the change in reporting currency.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Basis of Presentation, Consolidation and Summary of Significant Accounting Policies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significant accounting policies applied in the presentation of the accompanying consolidated financial statements follows: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and the rules and regulations of the SEC applicable to interim financial information. Accordingly, they do not include all information and footnotes required by U.S. GAAP for annual financial statements and should be read in conjunction with the Company’s Annual Report on Form 10-K for the year ended December 31,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include all adjustments necessary for a fair presentation, consisting of normal recurring adjustments and the non-recurring classification, reporting-currency, fair-value, discontinued-operations and financing-related adjustments described in these notes. Results for the three months ended March 31, 2026 are not necessarily indicative of results for the full fiscal year.</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Certain prior-period amounts have been reclassified to conform to the current-period presentation. These reclassifications did not affect total assets, total liabilities, shareholders’ equity, net income (loss) or net decrease in cash and cash equivalents.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Reporting currency and functional currency</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Effective January 1, 2026, the Company changed its reporting currency from the euro to the U.S. dollar. Management made the change to better align the Company’s financial reporting with its U.S.-dollar denominated financing activities, U.S. capital-markets reporting environment, and the Treasury Strategy following the Company’s strategic transition. The Company has recast all prior-period financial information presented in these condensed consolidated financial statements into U.S. dollars as if the U.S. dollar had been the Company’s reporting currency since the earliest period presented. The change in reporting currency does not by itself change the underlying functional-currency determination for each distinct and separable operation.</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January 1, 2026, Sono Group N.V. determined that its functional currency is the U.S. dollar. As of March 31, 2026, the Subsidiary continues to have the euro as its functional currency. Assets and liabilities of euro-functional operations are translated into U.S. dollars at period-end exchange rates, and revenues, expenses, gains and losses are translated at transaction-date rates or appropriate weighted-average exchange rates. Translation effects are recognized as a component of accumulated other comprehensive income (loss) within shareholders’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reported amounts and disclosures. Significant estimates include going concern, held-for-sale and discontinued-operations classification and measurement, fair value measurements of digital assets and derivative liabilities, valuation of convertible notes and related debt discount, lease accounting assumptions, and income tax valuation allowances.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Digital assets and derivative instruments</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Digital assets consisting principally of Bitcoin are accounted for under ASC 350-60. The Company’s Bitcoin holdings are initially recognized at cost and subsequently measured at fair value in accordance with ASC 820, with changes in fair value recognized in net income each reporting period. Digital assets are presented as a separate line item in the condensed consolidated balance sheet. The Company does not present digital asset fair-value changes, realized digital asset gains or losses, written-call premiums, derivative settlements or related execution fees as revenue from contracts with customers because such activities do not arise from contracts with customers within the scope of ASC 606.</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Written covered Bitcoin call options are accounted for as freestanding derivative liabilities under ASC 815 unless a specific scope exception applies. Premiums received are consideration for assuming a derivative obligation and are not recorded as revenue. Written-call liabilities are measured at fair value at inception and remeasured at fair value each reporting period, with changes recognized in earnings unless hedge accounting is formally designated and documented. The Company has not designated hedge accounting for the arrangements reflected in these condensed consolidated financial statements. The related economics are presented as digital asset treasury income or loss rather than revenue from contracts with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debt, warrants and fair value measurements</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convertible debentures by recognizing the debt host net of unamortized debt discount and separately recognizing embedded conversion features that require bifurcation as derivative liabilities. Embedded conversion derivative liabilities are measured at fair value at inception and at each reporting date, with changes in fair value recognized in earnings. Debt discount is amortized to interest expense over the expected term of the convertible debentures.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classifies pre-funded warrants in additional paid-in capital when the instruments meet the applicable equity-classification criteria. Cash proceeds from convertible debentures and pre-funded warrants are presented as financing cash inflows in the statement of cash flows, and equity-classified pre-funded warrant amounts are presented within shareholders’ equity.</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Fair value measurements are categorized within the fair value hierarchy based on the observability of inputs. Bitcoin is measured using the BTC-USD spot price observed at 23:59:59 UTC on the reporting date from the market in which the Company transacts through Blockchain.com and is classified within Level</w:t>
      </w:r>
    </w:p>
    <w:p>
      <w:pPr>
        <w:ind w:firstLine="6"/>
        <w:spacing w:after="0" w:line="251" w:lineRule="auto"/>
        <w:tabs>
          <w:tab w:leader="none" w:pos="22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covered Bitcoin call options and embedded conversion derivative liabilities are classified within Level 3 when valuation uses significant unobservable inputs, including volatility, term, conversion or settlement assumptions, and probability-weighted outcomes.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risk and concentrations</w:t>
      </w:r>
    </w:p>
    <w:p>
      <w:pPr>
        <w:spacing w:after="0" w:line="21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digital assets, collateral arrangements and contractual rights arising from digital asset derivative activity. The Company maintains cash with financial institutions, holds Bitcoin and related rights</w:t>
      </w:r>
    </w:p>
    <w:p>
      <w:pPr>
        <w:sectPr>
          <w:pgSz w:w="11900" w:h="16838" w:orient="portrait"/>
          <w:cols w:equalWidth="0" w:num="1">
            <w:col w:w="11240"/>
          </w:cols>
          <w:pgMar w:left="320" w:top="808" w:right="339" w:bottom="0" w:gutter="0" w:footer="0" w:header="0"/>
        </w:sectPr>
      </w:pPr>
    </w:p>
    <w:bookmarkStart w:id="10" w:name="page11"/>
    <w:bookmarkEnd w:id="10"/>
    <w:p>
      <w:pPr>
        <w:spacing w:after="0" w:line="274" w:lineRule="auto"/>
        <w:rPr>
          <w:sz w:val="20"/>
          <w:szCs w:val="20"/>
          <w:color w:val="auto"/>
        </w:rPr>
      </w:pPr>
      <w:r>
        <w:rPr>
          <w:rFonts w:ascii="Times New Roman" w:cs="Times New Roman" w:eastAsia="Times New Roman" w:hAnsi="Times New Roman"/>
          <w:sz w:val="18"/>
          <w:szCs w:val="18"/>
          <w:color w:val="auto"/>
        </w:rPr>
        <w:t>through digital asset counterparties and custodial arrangements, and monitors counterparty and concentration risk; however, balances may exceed insured or protected limits and are subject to market, custody, liquidity and counterparty risks.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Company accounts for leases under ASC 842, Leases. Right-of-use assets and lease liabilities are recognized at the commencement date based on the present value of lease payments over the lease term. Because the Company’s leases generally do not provide an implicit rate, the Company uses its incremental borrowing rate based on information available at commencement. Lease expense is recognized on a straight-line basis over the lease term. The Company has elected the short-term lease recognition exemption for leases with terms of twelve months or less. As of March 31, 2026, the Company’s lease balances, including right-of-use assets, relate to the Subsidiary and are included in discontinued operations and the disposal group classified as held for sale.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and Recently Issued Pronouncements</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Effective January 1, 2025, the Company adopted ASU 2023-08, Intangibles—Goodwill and Other—Crypto Assets (Subtopic 350-60): Accounting for and Disclosure of Crypto Assets. The guidance requires in-scope crypto assets to be measured at fair value, with changes in fair value recognized in net income each reporting period, and requires separate presentation and disclosure of crypto assets. The adoption did not have a material impact on the Company’s consolidated financial statements upon adoption because the Company did not hold material crypto assets at the adoption date. The guidance is applicable to the Company’s Bitcoin holdings acquired in connection with the Company’s digital asset treasury strategy (the “Treasury Strategy”).</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In January 2025, the FASB issued ASU 2025-01 to clarify the effective date of ASU 2024-03. The guidance requires additional note disclosures about specified categories of expenses included in certain expense captions. The guidance is effective for annual reporting periods beginning after December 15, 2026 and interim reporting periods beginning after December 15, 2027, with early adoption permitted. The Company is evaluating the effect of the guidance on its disclosures.</w:t>
      </w:r>
    </w:p>
    <w:p>
      <w:pPr>
        <w:spacing w:after="0" w:line="18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Company has evaluated other recently issued accounting pronouncements and does not expect them to have a material effect on its condensed consolidated financial statements or related disclosures.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Liquidity and Going Concern Analysis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required to evaluate whether there is substantial doubt about its ability to continue as a going concern each reporting period, including interim periods. In evaluating the Company’s ability to continue as a going concern, management considered the conditions and events that could raise substantial doubt about the Company’s ability to continue as a going concern within twelve months after the date these unaudited condensed consolidated financial statements are issued, in accordance with ASC 205-40. Management considered the Company’s current financial condition and liquidity sources, including current funds available, forecasted future cash flows, and the Company’s obligations due within twelve months after the issuance date of these unaudited condensed consolidated financial statements.</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March 31, 2026, the Company had cash and cash equivalents of $237 thousand, an accumulated deficit of $335.4 million, $4,709 thousand of Bitcoin measured at fair value, $4,350 thousand of convertible debenture principal outstanding, $1,129 thousand of convertible notes payable, net of discount, and $3,708 thousand of embedded conversion derivative liabilities. For the three months ended March 31, 2026, the Company recognized a loss from operations of $1,480 thousand and a net loss of $2,015 thousand. The Company has incurred recurring operating losses and historically negative cash flows from operations since inception, primarily attributable to the Subsidiary. These conditions raise substantial doubt about the Company’s ability to continue as a going concern.</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three months ended March 31, 2026, management completed financing transactions and strategic actions related to the Company’s transition to the Treasury Strategy and its exit from legacy solar operations. The Company raised aggregate gross proceeds of approximately $6.4 million through the issuance of three secured convertible debentures to Yorkville on January 26, 2026, February 19, 2026 and March 10, 2026, respectively, in the aggregate principal amount of $4.35 million (the “Q1 2026 Debentures”) and the issuance to Yorkville on March 10, 2026 of a pre-funded warrant for aggregate proceeds of $2.0 million. A substantial portion of these proceeds was used to implement the Treasury Strategy, including the acquisition of Bitcoin and the establishment of the Company’s institutional framework with Blockchain.com under the ISDA Master Agreement and the related Schedule and Credit Support Annex. Management also terminated all current and future funding commitments to the Subsidiary and initiated the Company’s exit from the legacy solar operations conducted through the Subsidiary, which is expected to materially reduce the Company’s ongoing cash outflows. In addition, as further described under Note 16 (Subsequent Events), subsequent to March 31, 2026, the Company completed its exit from the legacy solar operations through the execution and consummation of the SPA pursuant to which the Subsidiary was sold on May 4, 2026, and received an additional tranche of funding from Yorkville in the form of a convertible debenture issued by the Company to Yorkville in the aggregate principal amount of $700 thousand. These actions are relevant to management’s liquidity plans but did not alleviate substantial doubt about the Company’s ability to continue as a going concern.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2" w:name="page13"/>
    <w:bookmarkEnd w:id="12"/>
    <w:p>
      <w:pPr>
        <w:jc w:val="both"/>
        <w:spacing w:after="0" w:line="255" w:lineRule="auto"/>
        <w:rPr>
          <w:sz w:val="20"/>
          <w:szCs w:val="20"/>
          <w:color w:val="auto"/>
        </w:rPr>
      </w:pPr>
      <w:r>
        <w:rPr>
          <w:rFonts w:ascii="Times New Roman" w:cs="Times New Roman" w:eastAsia="Times New Roman" w:hAnsi="Times New Roman"/>
          <w:sz w:val="18"/>
          <w:szCs w:val="18"/>
          <w:color w:val="auto"/>
        </w:rPr>
        <w:t>Management considered the financing transactions, implementation of the Treasury Strategy and exit from legacy solar operations in its liquidity analysis. Although these actions may reduce certain cash outflows and provide additional potential liquidity sources, the Company continues to depend on monetization of digital asset holdings, performance of the Treasury Strategy and availability of external financing, and management did not conclude that substantial doubt was alleviated.</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ability to maintain adequate liquidity remains subject to significant uncertainties, including the price volatility and liquidity characteristics of digital assets, the terms and potential collateral requirements of transactions entered into in connection with the Treasury Strategy pursuant to the Credit Support Annex described in Note 5 (Digital Assets) and Note 6 (Written Covered Bitcoin Call Options), and the maturities of the convertible debentures issued during the three months ended March 31, 2026, which mature in 2027 and may require refinancing or conversion prior to or at maturity. Based upon this uncertainty, management has concluded that there is substantial doubt that the Company will continue as a going concern. See Note 16 (Subsequent Events) for additional information regarding subsequent events relevant to the matters described above.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Discontinued Operations and Assets and Liabilities Held for Sale</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March 14, 2026, the Company’s supervisory board resolved to terminate all current and future funding commitments to the Subsidiary and to exit the legacy solar operations conducted through the Subsidiary with immediate effect. The Company was in negotiations to sell the Subsidiary before March 31, 2026, and subsequent to March 31, 2026 executed a share purchase agreement to sell the Subsidiary. Management concluded that the Subsidiary met the criteria to be classified as held for sale as of March 31, 2026 and that the planned disposition (which was completed subsequent to quarter end on May 4, 2026, as further described under Note 16 (Subsequent Events)) represents a strategic shift that has had, or will have, a major effect on the Company’s operations and financial results.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held-for-sale conclusion was based on the approval of a plan to sell the Subsidiary, management’s commitment to the plan, active negotiations with a buyer, the availability of the disposal group for immediate sale in its then-present condition subject only to customary closing conditions, the expectation that the sale would be completed within one year, and the determination that actions required to complete the plan indicated it was unlikely that significant changes would be made or that the plan would be withdrawn.</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disposal group was measured at the lower of carrying amount or fair value less cost to sell. Based on the planned sale and nominal consideration subsequently documented in the executed SPA, management recognized a $519 thousand loss on classification as held for sale within discontinued operations, net of tax, during the three months ended March 31, 2026. The shareholder loan receivable from the Subsidiary and corresponding payable of the Subsidiary were intra-entity balances and were eliminated in consolidation while the Subsidiary remained consolidated; accordingly, the shareholder loan was not included as a separate consolidated held-for-sale asset or impairment charge. See Note 16 (Subsequent Events) for the SPA terms governing the post-quarter assignment of the shareholder loan claim.</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results of operations of the Subsidiary have been presented as discontinued operations for all periods presented. The related assets and liabilities have been presented separately as held for sale in the unaudited condensed consolidated balance sheets. Parent-company public-company costs, SEC reporting costs, financing costs, digital-asset treasury costs and general holding-company overhead remain in continuing operations unless directly attributable to the discontinued component. The discontinued operation was reported within the Company’s single reportable segment.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2026 and December 31, 2025, certain lease-related amounts recorded by Sono N.V., including approximately $0.9 million of right-of-use assets at March 31, 2026, relate to lease arrangements associated with the Subsidiary and the legacy solar business. Because the right-of-use assets and related lease liabilities are attributable to the discontinued component, the amounts are included in discontinued operations and in the disposal group classified as held for sale.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Major classes of assets of discontinued operations classified as held for sale (USD in thousands)</w:t>
            </w:r>
          </w:p>
        </w:tc>
        <w:tc>
          <w:tcPr>
            <w:tcW w:w="1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December 31, 2025</w:t>
            </w:r>
          </w:p>
        </w:tc>
      </w:tr>
      <w:tr>
        <w:trPr>
          <w:trHeight w:val="205"/>
        </w:trPr>
        <w:tc>
          <w:tcPr>
            <w:tcW w:w="80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Right-of-use assets</w:t>
            </w:r>
          </w:p>
        </w:tc>
        <w:tc>
          <w:tcPr>
            <w:tcW w:w="158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924</w:t>
            </w:r>
          </w:p>
        </w:tc>
        <w:tc>
          <w:tcPr>
            <w:tcW w:w="1660" w:type="dxa"/>
            <w:vAlign w:val="bottom"/>
            <w:gridSpan w:val="2"/>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673</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disposal-group assets</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621</w:t>
            </w:r>
          </w:p>
        </w:tc>
        <w:tc>
          <w:tcPr>
            <w:tcW w:w="16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496</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 impairment recognized on classification as held for sale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of discontinued operations classified as held for sale</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1,026</w:t>
            </w:r>
          </w:p>
        </w:tc>
        <w:tc>
          <w:tcPr>
            <w:tcW w:w="16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1,169</w:t>
            </w: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Major classes of liabilities of discontinued operations classified as held for sale (USD in thousands)</w:t>
            </w:r>
          </w:p>
        </w:tc>
        <w:tc>
          <w:tcPr>
            <w:tcW w:w="15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December 31, 2025</w:t>
            </w:r>
          </w:p>
        </w:tc>
      </w:tr>
      <w:tr>
        <w:trPr>
          <w:trHeight w:val="205"/>
        </w:trPr>
        <w:tc>
          <w:tcPr>
            <w:tcW w:w="80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Lease liabilities</w:t>
            </w:r>
          </w:p>
        </w:tc>
        <w:tc>
          <w:tcPr>
            <w:tcW w:w="154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652</w:t>
            </w:r>
          </w:p>
        </w:tc>
        <w:tc>
          <w:tcPr>
            <w:tcW w:w="1660" w:type="dxa"/>
            <w:vAlign w:val="bottom"/>
            <w:gridSpan w:val="2"/>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673</w:t>
            </w:r>
          </w:p>
        </w:tc>
      </w:tr>
      <w:tr>
        <w:trPr>
          <w:trHeight w:val="212"/>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Other disposal-group liabilities</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377</w:t>
            </w:r>
          </w:p>
        </w:tc>
        <w:tc>
          <w:tcPr>
            <w:tcW w:w="16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310</w:t>
            </w:r>
          </w:p>
        </w:tc>
      </w:tr>
      <w:tr>
        <w:trPr>
          <w:trHeight w:val="212"/>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of discontinued operations classified as held for sale</w:t>
            </w: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1,029</w:t>
            </w:r>
          </w:p>
        </w:tc>
        <w:tc>
          <w:tcPr>
            <w:tcW w:w="16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983</w:t>
            </w: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Pr>
          <w:p>
            <w:pPr>
              <w:spacing w:after="0"/>
              <w:rPr>
                <w:sz w:val="18"/>
                <w:szCs w:val="18"/>
                <w:color w:val="auto"/>
              </w:rPr>
            </w:pPr>
          </w:p>
        </w:tc>
        <w:tc>
          <w:tcPr>
            <w:tcW w:w="15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20" w:type="dxa"/>
            <w:vAlign w:val="bottom"/>
          </w:tcPr>
          <w:p>
            <w:pPr>
              <w:spacing w:after="0"/>
              <w:rPr>
                <w:sz w:val="18"/>
                <w:szCs w:val="18"/>
                <w:color w:val="auto"/>
              </w:rPr>
            </w:pPr>
          </w:p>
        </w:tc>
        <w:tc>
          <w:tcPr>
            <w:tcW w:w="15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12"/>
        </w:trPr>
        <w:tc>
          <w:tcPr>
            <w:tcW w:w="8000" w:type="dxa"/>
            <w:vAlign w:val="bottom"/>
          </w:tcPr>
          <w:p>
            <w:pPr>
              <w:spacing w:after="0"/>
              <w:rPr>
                <w:sz w:val="18"/>
                <w:szCs w:val="18"/>
                <w:color w:val="auto"/>
              </w:rPr>
            </w:pPr>
          </w:p>
        </w:tc>
        <w:tc>
          <w:tcPr>
            <w:tcW w:w="15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ended March 31,</w:t>
            </w:r>
          </w:p>
        </w:tc>
        <w:tc>
          <w:tcPr>
            <w:tcW w:w="120" w:type="dxa"/>
            <w:vAlign w:val="bottom"/>
          </w:tcPr>
          <w:p>
            <w:pPr>
              <w:spacing w:after="0"/>
              <w:rPr>
                <w:sz w:val="18"/>
                <w:szCs w:val="18"/>
                <w:color w:val="auto"/>
              </w:rPr>
            </w:pPr>
          </w:p>
        </w:tc>
        <w:tc>
          <w:tcPr>
            <w:tcW w:w="15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ended March 31,</w:t>
            </w:r>
          </w:p>
        </w:tc>
      </w:tr>
      <w:tr>
        <w:trPr>
          <w:trHeight w:val="2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Major line items included in income (loss) from discontinued operations (USD in thousands)</w:t>
            </w:r>
          </w:p>
        </w:tc>
        <w:tc>
          <w:tcPr>
            <w:tcW w:w="15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5"/>
        </w:trPr>
        <w:tc>
          <w:tcPr>
            <w:tcW w:w="80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Revenue</w:t>
            </w:r>
          </w:p>
        </w:tc>
        <w:tc>
          <w:tcPr>
            <w:tcW w:w="158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174</w:t>
            </w:r>
          </w:p>
        </w:tc>
        <w:tc>
          <w:tcPr>
            <w:tcW w:w="1660" w:type="dxa"/>
            <w:vAlign w:val="bottom"/>
            <w:gridSpan w:val="2"/>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31</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 cost of sales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6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16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of discontinued operations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loss, net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on classification as held for sale / impairment of disposal group</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425"/>
        </w:trPr>
        <w:tc>
          <w:tcPr>
            <w:tcW w:w="80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1"/>
        </w:trPr>
        <w:tc>
          <w:tcPr>
            <w:tcW w:w="80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2" w:right="339" w:bottom="9"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20" w:type="dxa"/>
            <w:vAlign w:val="bottom"/>
          </w:tcPr>
          <w:p>
            <w:pPr>
              <w:spacing w:after="0"/>
              <w:rPr>
                <w:sz w:val="18"/>
                <w:szCs w:val="18"/>
                <w:color w:val="auto"/>
              </w:rPr>
            </w:pPr>
          </w:p>
        </w:tc>
        <w:tc>
          <w:tcPr>
            <w:tcW w:w="15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12"/>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ended March 31,</w:t>
            </w:r>
          </w:p>
        </w:tc>
        <w:tc>
          <w:tcPr>
            <w:tcW w:w="120" w:type="dxa"/>
            <w:vAlign w:val="bottom"/>
          </w:tcPr>
          <w:p>
            <w:pPr>
              <w:spacing w:after="0"/>
              <w:rPr>
                <w:sz w:val="18"/>
                <w:szCs w:val="18"/>
                <w:color w:val="auto"/>
              </w:rPr>
            </w:pPr>
          </w:p>
        </w:tc>
        <w:tc>
          <w:tcPr>
            <w:tcW w:w="15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ended March 31,</w:t>
            </w:r>
          </w:p>
        </w:tc>
      </w:tr>
      <w:tr>
        <w:trPr>
          <w:trHeight w:val="232"/>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Discontinued operations cash-flow information (USD in thousands)</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5"/>
        </w:trPr>
        <w:tc>
          <w:tcPr>
            <w:tcW w:w="78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cash provided by (used in) operating activities of discontinued operations</w:t>
            </w:r>
          </w:p>
        </w:tc>
        <w:tc>
          <w:tcPr>
            <w:tcW w:w="1700" w:type="dxa"/>
            <w:vAlign w:val="bottom"/>
            <w:gridSpan w:val="2"/>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170</w:t>
            </w:r>
          </w:p>
        </w:tc>
        <w:tc>
          <w:tcPr>
            <w:tcW w:w="166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(806)</w:t>
            </w:r>
          </w:p>
        </w:tc>
      </w:tr>
      <w:tr>
        <w:trPr>
          <w:trHeight w:val="21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exchange-rate changes on cash of discontinued operations</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of discontinued operations</w:t>
            </w:r>
          </w:p>
        </w:tc>
        <w:tc>
          <w:tcPr>
            <w:tcW w:w="17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170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1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of discontinued operations, beginning of period</w:t>
            </w:r>
          </w:p>
        </w:tc>
        <w:tc>
          <w:tcPr>
            <w:tcW w:w="17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c>
          <w:tcPr>
            <w:tcW w:w="16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1,357</w:t>
            </w: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Cash of discontinued operations, end of period</w:t>
            </w:r>
          </w:p>
        </w:tc>
        <w:tc>
          <w:tcPr>
            <w:tcW w:w="17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223</w:t>
            </w:r>
          </w:p>
        </w:tc>
        <w:tc>
          <w:tcPr>
            <w:tcW w:w="16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530</w:t>
            </w:r>
          </w:p>
        </w:tc>
      </w:tr>
      <w:tr>
        <w:trPr>
          <w:trHeight w:val="21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included in discontinued operations</w:t>
            </w:r>
          </w:p>
        </w:tc>
        <w:tc>
          <w:tcPr>
            <w:tcW w:w="17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6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held-for-sale presentation bridge (USD in thousands)</w:t>
            </w:r>
          </w:p>
        </w:tc>
        <w:tc>
          <w:tcPr>
            <w:tcW w:w="1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December 31, 2025</w:t>
            </w:r>
          </w:p>
        </w:tc>
      </w:tr>
      <w:tr>
        <w:trPr>
          <w:trHeight w:val="205"/>
        </w:trPr>
        <w:tc>
          <w:tcPr>
            <w:tcW w:w="80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Cash and cash equivalents presented in continuing current assets</w:t>
            </w:r>
          </w:p>
        </w:tc>
        <w:tc>
          <w:tcPr>
            <w:tcW w:w="158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237</w:t>
            </w:r>
          </w:p>
        </w:tc>
        <w:tc>
          <w:tcPr>
            <w:tcW w:w="1660" w:type="dxa"/>
            <w:vAlign w:val="bottom"/>
            <w:gridSpan w:val="2"/>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243</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of discontinued operations included in assets classified as held for sale</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223</w:t>
            </w:r>
          </w:p>
        </w:tc>
        <w:tc>
          <w:tcPr>
            <w:tcW w:w="16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53</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 including discontinued operations cash</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460</w:t>
            </w:r>
          </w:p>
        </w:tc>
        <w:tc>
          <w:tcPr>
            <w:tcW w:w="16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296</w:t>
            </w:r>
          </w:p>
        </w:tc>
      </w:tr>
    </w:tbl>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Upon the May 4, 2026 sale of the Subsidiary and loss of control of the Subsidiary, the Company will deconsolidate the Subsidiary and recognize any resulting gain or loss within discontinued operations in the second quarter of 2026.</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5. Digital Assets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the Company acquired Bitcoin as part of the Treasury Strategy. The Company’s digital asset holdings consist of Bitcoin and are presented separately on the face of the unaudited condensed consolidated balance sheets. See Note 2 (Basis of Presentation, Consolidation and Summary of Significant Accounting Policies) for the Company’s accounting policies for crypto assets, written covered Bitcoin call options and digital asset treasury income (loss), net, and Note 7 (Fair Value Measurements) for the related fair value measurement disclosures.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Bitcoin holdings expose the Company to concentration risk in a single digital asset and to market, custody, counterparty, regulatory, execution and liquidity risks. The fair value of Bitcoin may change materially over short periods, and changes in fair value are recognized in earnings each reporting period. Bitcoin holdings may also be affected by written-call option arrangements, collateral requirements, settlement mechanics and restrictions or practical limitations associated with custody or monetization.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Digital asset rollforward (USD in thousands, except BTC units and USD price per BTC)</w:t>
            </w:r>
          </w:p>
        </w:tc>
        <w:tc>
          <w:tcPr>
            <w:tcW w:w="15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BTC units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USD amount</w:t>
            </w:r>
          </w:p>
        </w:tc>
      </w:tr>
      <w:tr>
        <w:trPr>
          <w:trHeight w:val="205"/>
        </w:trPr>
        <w:tc>
          <w:tcPr>
            <w:tcW w:w="80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Beginning balance</w:t>
            </w:r>
          </w:p>
        </w:tc>
        <w:tc>
          <w:tcPr>
            <w:tcW w:w="1860" w:type="dxa"/>
            <w:vAlign w:val="bottom"/>
            <w:gridSpan w:val="3"/>
            <w:shd w:val="clear" w:color="auto" w:fill="CCEEFF"/>
          </w:tcPr>
          <w:p>
            <w:pPr>
              <w:jc w:val="right"/>
              <w:ind w:right="4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Bitcoin purchased / deposited during period</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5,000</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 BTC premiums received on Q1 written covered calls</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Dispositions / physical settlements</w:t>
            </w:r>
          </w:p>
        </w:tc>
        <w:tc>
          <w:tcPr>
            <w:tcW w:w="18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BTC holdings at March 31, 2026</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69.01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Period-end BTC price (USD per BTC)</w:t>
            </w:r>
          </w:p>
        </w:tc>
        <w:tc>
          <w:tcPr>
            <w:tcW w:w="186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68,233</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Bitcoin fair value (69.01 BTC x $68,233.31; calculated using unrounded BTC units)</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69.01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4,709</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basis / carrying value before ASC 350-60 fair value remeasurement</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5,035</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ASC 350-60 fair value remeasurement gain/(loss)</w:t>
            </w:r>
          </w:p>
        </w:tc>
        <w:tc>
          <w:tcPr>
            <w:tcW w:w="18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BTC units in the table are rounded to the nearest hundredth for presentation. The unit rollforward and ending fair value are calculated using unrounded BTC units from the Company’s Bitcoin treasury valuation support; therefore, rounded displayed unit amounts may not recompute exactly. The settled BTC premium line represents BTC premiums received on written covered calls that expired out of the money before quarter-end.</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digital asset rollforward reflects activity through March 31, 2026 only. The April 3, 2026 Blockchain.com activity report includes post-quarter activity and therefore does not represent the March 31, 2026 BTC-unit balance. The March 31, 2026 balance includes the original 68.49313568 BTC collateral deposit plus 0.51462318 BTC of premiums from written covered Bitcoin calls that expired out of the money by quarter-end.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Written Covered Bitcoin Call Options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writes covered Bitcoin call options and receives option premiums. During the three months ended March 31, 2026, the Company received 0.51462318 BTC of premiums on written covered Bitcoin call options that expired out of the money before quarter-end. Written call options are derivative liabilities while outstanding. Premiums received are not revenue from contracts with customers and are recognized through derivative fair-value remeasurement, expiration, close-out or settlement. The written-call strategy may generate premium income but may also limit the Company’s participation in increases in Bitcoin prices and expose the Company to derivative valuation, collateral, counterparty, settlement and liquidity risks.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March 31, 2026, the Company recognized a $21 thousand derivative liability for the open April 3, 2026 written covered Bitcoin call option. The liability was calculated as 0.31053491 BTC multiplied by the March 31, 2026 BTC-USD spot price of $68,233.31, observed at 23:59:59 UTC on March 31, 2026 from the market in which the Company transacts through Blockchain.com, rounded to the nearest thousand. The fair value of written-call liabilities may increase with increases in Bitcoin spot price, implied volatility or remaining contractual term.</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w w:val="98"/>
              </w:rPr>
              <w:t>Written covered-call derivative liability rollforward (USD in thousands)</w:t>
            </w:r>
          </w:p>
        </w:tc>
        <w:tc>
          <w:tcPr>
            <w:tcW w:w="42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5"/>
        </w:trPr>
        <w:tc>
          <w:tcPr>
            <w:tcW w:w="54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Initial liabilities recognized for premiums received by period-end</w:t>
            </w:r>
          </w:p>
        </w:tc>
        <w:tc>
          <w:tcPr>
            <w:tcW w:w="4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35</w:t>
            </w:r>
          </w:p>
        </w:tc>
      </w:tr>
      <w:tr>
        <w:trPr>
          <w:trHeight w:val="21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Ending written-call derivative liability</w:t>
            </w:r>
          </w:p>
        </w:tc>
        <w:tc>
          <w:tcPr>
            <w:tcW w:w="5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r>
      <w:tr>
        <w:trPr>
          <w:trHeight w:val="212"/>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expiration/settlement gain</w:t>
            </w:r>
          </w:p>
        </w:tc>
        <w:tc>
          <w:tcPr>
            <w:tcW w:w="57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r>
      <w:tr>
        <w:trPr>
          <w:trHeight w:val="21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Open written-call fair-value loss</w:t>
            </w:r>
          </w:p>
        </w:tc>
        <w:tc>
          <w:tcPr>
            <w:tcW w:w="5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2"/>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written-call income</w:t>
            </w:r>
          </w:p>
        </w:tc>
        <w:tc>
          <w:tcPr>
            <w:tcW w:w="57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r>
      <w:tr>
        <w:trPr>
          <w:trHeight w:val="425"/>
        </w:trPr>
        <w:tc>
          <w:tcPr>
            <w:tcW w:w="5480" w:type="dxa"/>
            <w:vAlign w:val="bottom"/>
          </w:tcPr>
          <w:p>
            <w:pPr>
              <w:spacing w:after="0"/>
              <w:rPr>
                <w:sz w:val="24"/>
                <w:szCs w:val="24"/>
                <w:color w:val="auto"/>
              </w:rPr>
            </w:pPr>
          </w:p>
        </w:tc>
        <w:tc>
          <w:tcPr>
            <w:tcW w:w="4200" w:type="dxa"/>
            <w:vAlign w:val="bottom"/>
          </w:tcPr>
          <w:p>
            <w:pPr>
              <w:jc w:val="right"/>
              <w:ind w:right="3892"/>
              <w:spacing w:after="0"/>
              <w:rPr>
                <w:sz w:val="20"/>
                <w:szCs w:val="20"/>
                <w:color w:val="auto"/>
              </w:rPr>
            </w:pPr>
            <w:r>
              <w:rPr>
                <w:rFonts w:ascii="Times New Roman" w:cs="Times New Roman" w:eastAsia="Times New Roman" w:hAnsi="Times New Roman"/>
                <w:sz w:val="18"/>
                <w:szCs w:val="18"/>
                <w:color w:val="auto"/>
              </w:rPr>
              <w:t>11</w:t>
            </w:r>
          </w:p>
        </w:tc>
        <w:tc>
          <w:tcPr>
            <w:tcW w:w="1560" w:type="dxa"/>
            <w:vAlign w:val="bottom"/>
          </w:tcPr>
          <w:p>
            <w:pPr>
              <w:spacing w:after="0"/>
              <w:rPr>
                <w:sz w:val="24"/>
                <w:szCs w:val="24"/>
                <w:color w:val="auto"/>
              </w:rPr>
            </w:pPr>
          </w:p>
        </w:tc>
      </w:tr>
      <w:tr>
        <w:trPr>
          <w:trHeight w:val="111"/>
        </w:trPr>
        <w:tc>
          <w:tcPr>
            <w:tcW w:w="5480" w:type="dxa"/>
            <w:vAlign w:val="bottom"/>
            <w:tcBorders>
              <w:bottom w:val="single" w:sz="8" w:color="auto"/>
            </w:tcBorders>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8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measures Bitcoin and derivative liabilities at fair value in accordance with ASC 820. For directly held Bitcoin, management identified the market in which the Company transacts through Blockchain.com as the principal market for the Company’s Bitcoin treasury transactions. Because Bitcoin trades continuously and does not have a single exchange closing time, the Company measures its period-end Bitcoin position using the BTC-USD spot price observed from that principal market at 23:59:59 UTC on the reporting date. For March 31, 2026, the spot price used was $68,233.31 per BTC. Bitcoin is classified as Level 1 because the valuation uses an observable quoted price in an active market. Written covered-call derivative liabilities and embedded conversion derivative liabilities are classified as Level 3 because valuation includes significant unobservable inputs. The Company had no assets or liabilities measured at fair value on a recurring basis at December 31, 2025. The fair value hierarchy and Level 3 rollforward below present the same March 31, 2026 embedded conversion derivative liability balance as the balance sheet caption for derivative liabilities — embedded conversion features and the convertible debt table in Note 8. (Convertible Notes, Embedded Derivatives and Pre-Funded Warrants).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6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2"/>
        </w:trPr>
        <w:tc>
          <w:tcPr>
            <w:tcW w:w="596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2026 total fair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2"/>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hierarchy by instrument (USD in thousands)</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2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5"/>
        </w:trPr>
        <w:tc>
          <w:tcPr>
            <w:tcW w:w="596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Bitcoin digital assets</w:t>
            </w:r>
          </w:p>
        </w:tc>
        <w:tc>
          <w:tcPr>
            <w:tcW w:w="1260" w:type="dxa"/>
            <w:vAlign w:val="bottom"/>
            <w:tcBorders>
              <w:top w:val="single" w:sz="8" w:color="auto"/>
            </w:tcBorders>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4,709</w:t>
            </w: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4,709</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ind w:left="9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12"/>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Embedded conversion derivative liability</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3,708</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3,708</w:t>
            </w:r>
          </w:p>
        </w:tc>
      </w:tr>
      <w:tr>
        <w:trPr>
          <w:trHeight w:val="21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Written covered Bitcoin call derivative liability</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Pr>
          <w:p>
            <w:pPr>
              <w:spacing w:after="0"/>
              <w:rPr>
                <w:sz w:val="18"/>
                <w:szCs w:val="18"/>
                <w:color w:val="auto"/>
              </w:rPr>
            </w:pPr>
          </w:p>
        </w:tc>
        <w:tc>
          <w:tcPr>
            <w:tcW w:w="15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Embedded</w:t>
            </w:r>
          </w:p>
        </w:tc>
        <w:tc>
          <w:tcPr>
            <w:tcW w:w="120" w:type="dxa"/>
            <w:vAlign w:val="bottom"/>
          </w:tcPr>
          <w:p>
            <w:pPr>
              <w:spacing w:after="0"/>
              <w:rPr>
                <w:sz w:val="18"/>
                <w:szCs w:val="18"/>
                <w:color w:val="auto"/>
              </w:rPr>
            </w:pPr>
          </w:p>
        </w:tc>
        <w:tc>
          <w:tcPr>
            <w:tcW w:w="15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Written covered</w:t>
            </w:r>
          </w:p>
        </w:tc>
      </w:tr>
      <w:tr>
        <w:trPr>
          <w:trHeight w:val="212"/>
        </w:trPr>
        <w:tc>
          <w:tcPr>
            <w:tcW w:w="8000" w:type="dxa"/>
            <w:vAlign w:val="bottom"/>
          </w:tcPr>
          <w:p>
            <w:pPr>
              <w:spacing w:after="0"/>
              <w:rPr>
                <w:sz w:val="18"/>
                <w:szCs w:val="18"/>
                <w:color w:val="auto"/>
              </w:rPr>
            </w:pPr>
          </w:p>
        </w:tc>
        <w:tc>
          <w:tcPr>
            <w:tcW w:w="15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conversion</w:t>
            </w:r>
          </w:p>
        </w:tc>
        <w:tc>
          <w:tcPr>
            <w:tcW w:w="120" w:type="dxa"/>
            <w:vAlign w:val="bottom"/>
          </w:tcPr>
          <w:p>
            <w:pPr>
              <w:spacing w:after="0"/>
              <w:rPr>
                <w:sz w:val="18"/>
                <w:szCs w:val="18"/>
                <w:color w:val="auto"/>
              </w:rPr>
            </w:pPr>
          </w:p>
        </w:tc>
        <w:tc>
          <w:tcPr>
            <w:tcW w:w="15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Bitcoin call</w:t>
            </w:r>
          </w:p>
        </w:tc>
      </w:tr>
      <w:tr>
        <w:trPr>
          <w:trHeight w:val="2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3 derivative liability rollforward (USD in thousands)</w:t>
            </w:r>
          </w:p>
        </w:tc>
        <w:tc>
          <w:tcPr>
            <w:tcW w:w="15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derivative liability</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derivative liability</w:t>
            </w:r>
          </w:p>
        </w:tc>
      </w:tr>
      <w:tr>
        <w:trPr>
          <w:trHeight w:val="205"/>
        </w:trPr>
        <w:tc>
          <w:tcPr>
            <w:tcW w:w="80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Beginning balance, January 1, 2026</w:t>
            </w:r>
          </w:p>
        </w:tc>
        <w:tc>
          <w:tcPr>
            <w:tcW w:w="158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Initial recognition / issuances</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5,383</w:t>
            </w:r>
          </w:p>
        </w:tc>
        <w:tc>
          <w:tcPr>
            <w:tcW w:w="16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recognized in earnings, net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6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Settlements / expirations / conversions</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into or out of Level 3</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March 31, 2026</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3,708</w:t>
            </w:r>
          </w:p>
        </w:tc>
        <w:tc>
          <w:tcPr>
            <w:tcW w:w="16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r>
    </w:tbl>
    <w:p>
      <w:pPr>
        <w:spacing w:after="0" w:line="1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debt-host allocation / day-one noncash issuance-date adjustment represents the noncash issuance-date allocation effect recognized in connection with bifurcating the embedded conversion derivative liabilities from the convertible-debt host.</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3640" w:type="dxa"/>
            <w:vAlign w:val="bottom"/>
            <w:tcBorders>
              <w:top w:val="single" w:sz="8" w:color="auto"/>
              <w:left w:val="single" w:sz="8" w:color="auto"/>
              <w:bottom w:val="single" w:sz="8" w:color="auto"/>
              <w:right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2440" w:type="dxa"/>
            <w:vAlign w:val="bottom"/>
            <w:tcBorders>
              <w:top w:val="single" w:sz="8" w:color="auto"/>
              <w:bottom w:val="single" w:sz="8" w:color="auto"/>
              <w:right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Fair value hierarchy</w:t>
            </w:r>
          </w:p>
        </w:tc>
        <w:tc>
          <w:tcPr>
            <w:tcW w:w="5160" w:type="dxa"/>
            <w:vAlign w:val="bottom"/>
            <w:tcBorders>
              <w:top w:val="single" w:sz="8" w:color="auto"/>
              <w:bottom w:val="single" w:sz="8" w:color="auto"/>
              <w:right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b w:val="1"/>
                <w:bCs w:val="1"/>
                <w:color w:val="auto"/>
              </w:rPr>
              <w:t>Valuation technique / significant inputs</w:t>
            </w:r>
          </w:p>
        </w:tc>
      </w:tr>
      <w:tr>
        <w:trPr>
          <w:trHeight w:val="170"/>
        </w:trPr>
        <w:tc>
          <w:tcPr>
            <w:tcW w:w="3640" w:type="dxa"/>
            <w:vAlign w:val="bottom"/>
            <w:tcBorders>
              <w:right w:val="single" w:sz="8" w:color="auto"/>
            </w:tcBorders>
          </w:tcPr>
          <w:p>
            <w:pPr>
              <w:ind w:left="20"/>
              <w:spacing w:after="0" w:line="170" w:lineRule="exact"/>
              <w:rPr>
                <w:sz w:val="20"/>
                <w:szCs w:val="20"/>
                <w:color w:val="auto"/>
              </w:rPr>
            </w:pPr>
            <w:r>
              <w:rPr>
                <w:rFonts w:ascii="Times New Roman" w:cs="Times New Roman" w:eastAsia="Times New Roman" w:hAnsi="Times New Roman"/>
                <w:sz w:val="18"/>
                <w:szCs w:val="18"/>
                <w:color w:val="auto"/>
              </w:rPr>
              <w:t>Bitcoin</w:t>
            </w:r>
          </w:p>
        </w:tc>
        <w:tc>
          <w:tcPr>
            <w:tcW w:w="2440" w:type="dxa"/>
            <w:vAlign w:val="bottom"/>
            <w:tcBorders>
              <w:right w:val="single" w:sz="8" w:color="auto"/>
            </w:tcBorders>
          </w:tcPr>
          <w:p>
            <w:pPr>
              <w:jc w:val="right"/>
              <w:ind w:right="1852"/>
              <w:spacing w:after="0" w:line="170" w:lineRule="exact"/>
              <w:rPr>
                <w:sz w:val="20"/>
                <w:szCs w:val="20"/>
                <w:color w:val="auto"/>
              </w:rPr>
            </w:pPr>
            <w:r>
              <w:rPr>
                <w:rFonts w:ascii="Times New Roman" w:cs="Times New Roman" w:eastAsia="Times New Roman" w:hAnsi="Times New Roman"/>
                <w:sz w:val="18"/>
                <w:szCs w:val="18"/>
                <w:color w:val="auto"/>
                <w:w w:val="88"/>
              </w:rPr>
              <w:t>Level 1</w:t>
            </w:r>
          </w:p>
        </w:tc>
        <w:tc>
          <w:tcPr>
            <w:tcW w:w="5160" w:type="dxa"/>
            <w:vAlign w:val="bottom"/>
            <w:tcBorders>
              <w:right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BTC-USD spot price observed from the market in which the Company</w:t>
            </w:r>
          </w:p>
        </w:tc>
      </w:tr>
      <w:tr>
        <w:trPr>
          <w:trHeight w:val="212"/>
        </w:trPr>
        <w:tc>
          <w:tcPr>
            <w:tcW w:w="364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transacts through Blockchain.com at 23:59:59 UTC on March 31, 2026;</w:t>
            </w:r>
          </w:p>
        </w:tc>
      </w:tr>
      <w:tr>
        <w:trPr>
          <w:trHeight w:val="230"/>
        </w:trPr>
        <w:tc>
          <w:tcPr>
            <w:tcW w:w="3640" w:type="dxa"/>
            <w:vAlign w:val="bottom"/>
            <w:tcBorders>
              <w:bottom w:val="single" w:sz="8" w:color="auto"/>
              <w:right w:val="single" w:sz="8" w:color="auto"/>
            </w:tcBorders>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c>
          <w:tcPr>
            <w:tcW w:w="5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spot price used was $68,233.31 per BTC.</w:t>
            </w:r>
          </w:p>
        </w:tc>
      </w:tr>
      <w:tr>
        <w:trPr>
          <w:trHeight w:val="187"/>
        </w:trPr>
        <w:tc>
          <w:tcPr>
            <w:tcW w:w="3640" w:type="dxa"/>
            <w:vAlign w:val="bottom"/>
            <w:tcBorders>
              <w:right w:val="single" w:sz="8" w:color="auto"/>
            </w:tcBorders>
          </w:tcPr>
          <w:p>
            <w:pPr>
              <w:ind w:left="20"/>
              <w:spacing w:after="0" w:line="187" w:lineRule="exact"/>
              <w:rPr>
                <w:sz w:val="20"/>
                <w:szCs w:val="20"/>
                <w:color w:val="auto"/>
              </w:rPr>
            </w:pPr>
            <w:r>
              <w:rPr>
                <w:rFonts w:ascii="Times New Roman" w:cs="Times New Roman" w:eastAsia="Times New Roman" w:hAnsi="Times New Roman"/>
                <w:sz w:val="18"/>
                <w:szCs w:val="18"/>
                <w:color w:val="auto"/>
              </w:rPr>
              <w:t>Written covered Bitcoin call options</w:t>
            </w:r>
          </w:p>
        </w:tc>
        <w:tc>
          <w:tcPr>
            <w:tcW w:w="2440" w:type="dxa"/>
            <w:vAlign w:val="bottom"/>
            <w:tcBorders>
              <w:right w:val="single" w:sz="8" w:color="auto"/>
            </w:tcBorders>
          </w:tcPr>
          <w:p>
            <w:pPr>
              <w:jc w:val="right"/>
              <w:ind w:right="1852"/>
              <w:spacing w:after="0" w:line="187" w:lineRule="exact"/>
              <w:rPr>
                <w:sz w:val="20"/>
                <w:szCs w:val="20"/>
                <w:color w:val="auto"/>
              </w:rPr>
            </w:pPr>
            <w:r>
              <w:rPr>
                <w:rFonts w:ascii="Times New Roman" w:cs="Times New Roman" w:eastAsia="Times New Roman" w:hAnsi="Times New Roman"/>
                <w:sz w:val="18"/>
                <w:szCs w:val="18"/>
                <w:color w:val="auto"/>
                <w:w w:val="88"/>
              </w:rPr>
              <w:t>Level 3</w:t>
            </w:r>
          </w:p>
        </w:tc>
        <w:tc>
          <w:tcPr>
            <w:tcW w:w="516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Open April 3, 2026 written call; liability equals 0.31053491 BTC x</w:t>
            </w:r>
          </w:p>
        </w:tc>
      </w:tr>
      <w:tr>
        <w:trPr>
          <w:trHeight w:val="212"/>
        </w:trPr>
        <w:tc>
          <w:tcPr>
            <w:tcW w:w="364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$68,233.31, rounded to $21 thousand. Remaining term at 3/31/26 was</w:t>
            </w:r>
          </w:p>
        </w:tc>
      </w:tr>
      <w:tr>
        <w:trPr>
          <w:trHeight w:val="230"/>
        </w:trPr>
        <w:tc>
          <w:tcPr>
            <w:tcW w:w="3640" w:type="dxa"/>
            <w:vAlign w:val="bottom"/>
            <w:tcBorders>
              <w:bottom w:val="single" w:sz="8" w:color="auto"/>
              <w:right w:val="single" w:sz="8" w:color="auto"/>
            </w:tcBorders>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c>
          <w:tcPr>
            <w:tcW w:w="5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three days.</w:t>
            </w:r>
          </w:p>
        </w:tc>
      </w:tr>
      <w:tr>
        <w:trPr>
          <w:trHeight w:val="187"/>
        </w:trPr>
        <w:tc>
          <w:tcPr>
            <w:tcW w:w="3640" w:type="dxa"/>
            <w:vAlign w:val="bottom"/>
            <w:tcBorders>
              <w:right w:val="single" w:sz="8" w:color="auto"/>
            </w:tcBorders>
          </w:tcPr>
          <w:p>
            <w:pPr>
              <w:ind w:left="20"/>
              <w:spacing w:after="0" w:line="187" w:lineRule="exact"/>
              <w:rPr>
                <w:sz w:val="20"/>
                <w:szCs w:val="20"/>
                <w:color w:val="auto"/>
              </w:rPr>
            </w:pPr>
            <w:r>
              <w:rPr>
                <w:rFonts w:ascii="Times New Roman" w:cs="Times New Roman" w:eastAsia="Times New Roman" w:hAnsi="Times New Roman"/>
                <w:sz w:val="18"/>
                <w:szCs w:val="18"/>
                <w:color w:val="auto"/>
              </w:rPr>
              <w:t>Embedded conversion derivative liabilities</w:t>
            </w:r>
          </w:p>
        </w:tc>
        <w:tc>
          <w:tcPr>
            <w:tcW w:w="2440" w:type="dxa"/>
            <w:vAlign w:val="bottom"/>
            <w:tcBorders>
              <w:right w:val="single" w:sz="8" w:color="auto"/>
            </w:tcBorders>
          </w:tcPr>
          <w:p>
            <w:pPr>
              <w:jc w:val="right"/>
              <w:ind w:right="1852"/>
              <w:spacing w:after="0" w:line="187" w:lineRule="exact"/>
              <w:rPr>
                <w:sz w:val="20"/>
                <w:szCs w:val="20"/>
                <w:color w:val="auto"/>
              </w:rPr>
            </w:pPr>
            <w:r>
              <w:rPr>
                <w:rFonts w:ascii="Times New Roman" w:cs="Times New Roman" w:eastAsia="Times New Roman" w:hAnsi="Times New Roman"/>
                <w:sz w:val="18"/>
                <w:szCs w:val="18"/>
                <w:color w:val="auto"/>
                <w:w w:val="88"/>
              </w:rPr>
              <w:t>Level 3</w:t>
            </w:r>
          </w:p>
        </w:tc>
        <w:tc>
          <w:tcPr>
            <w:tcW w:w="516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w w:val="98"/>
              </w:rPr>
              <w:t>Monte Carlo simulation for convertible-debenture embedded conversion</w:t>
            </w:r>
          </w:p>
        </w:tc>
      </w:tr>
      <w:tr>
        <w:trPr>
          <w:trHeight w:val="212"/>
        </w:trPr>
        <w:tc>
          <w:tcPr>
            <w:tcW w:w="364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features using SSM stock price $6.33, expected volatility 110.0%, risk-</w:t>
            </w:r>
          </w:p>
        </w:tc>
      </w:tr>
      <w:tr>
        <w:trPr>
          <w:trHeight w:val="212"/>
        </w:trPr>
        <w:tc>
          <w:tcPr>
            <w:tcW w:w="364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free rate 4.25%, expected term 0.85 years, conversion/floor terms and</w:t>
            </w:r>
          </w:p>
        </w:tc>
      </w:tr>
      <w:tr>
        <w:trPr>
          <w:trHeight w:val="230"/>
        </w:trPr>
        <w:tc>
          <w:tcPr>
            <w:tcW w:w="3640" w:type="dxa"/>
            <w:vAlign w:val="bottom"/>
            <w:tcBorders>
              <w:bottom w:val="single" w:sz="8" w:color="auto"/>
              <w:right w:val="single" w:sz="8" w:color="auto"/>
            </w:tcBorders>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c>
          <w:tcPr>
            <w:tcW w:w="5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probability-weighted settlement assumptions.</w:t>
            </w:r>
          </w:p>
        </w:tc>
      </w:tr>
      <w:tr>
        <w:trPr>
          <w:trHeight w:val="630"/>
        </w:trPr>
        <w:tc>
          <w:tcPr>
            <w:tcW w:w="3640" w:type="dxa"/>
            <w:vAlign w:val="bottom"/>
          </w:tcPr>
          <w:p>
            <w:pPr>
              <w:spacing w:after="0"/>
              <w:rPr>
                <w:sz w:val="24"/>
                <w:szCs w:val="24"/>
                <w:color w:val="auto"/>
              </w:rPr>
            </w:pPr>
          </w:p>
        </w:tc>
        <w:tc>
          <w:tcPr>
            <w:tcW w:w="24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12</w:t>
            </w:r>
          </w:p>
        </w:tc>
        <w:tc>
          <w:tcPr>
            <w:tcW w:w="5160" w:type="dxa"/>
            <w:vAlign w:val="bottom"/>
          </w:tcPr>
          <w:p>
            <w:pPr>
              <w:spacing w:after="0"/>
              <w:rPr>
                <w:sz w:val="24"/>
                <w:szCs w:val="24"/>
                <w:color w:val="auto"/>
              </w:rPr>
            </w:pPr>
          </w:p>
        </w:tc>
      </w:tr>
      <w:tr>
        <w:trPr>
          <w:trHeight w:val="111"/>
        </w:trPr>
        <w:tc>
          <w:tcPr>
            <w:tcW w:w="364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51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8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8. Convertible Notes, Embedded Derivatives and Pre-Funded Warrants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During the three months ended March 31, 2026, the Company issued three convertible debentures and one pre-funded warrant to YA II PN, Ltd. The following tables summarize the contractual terms and reconcile the related debt host, embedded conversion derivative liability, accrued interest payable, pre-funded warrant proceeds and APIC allocation to the balance sheet, statement of operations, statement of cash flows and shareholders’ equity presentation.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Convertible debenture terms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January Debenture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February Debenture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March Debenture</w:t>
            </w:r>
          </w:p>
        </w:tc>
      </w:tr>
      <w:tr>
        <w:trPr>
          <w:trHeight w:val="205"/>
        </w:trPr>
        <w:tc>
          <w:tcPr>
            <w:tcW w:w="28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Issue date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Jan. 26, 2026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8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Feb. 19, 2026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8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Mar. 10, 2026</w:t>
            </w:r>
          </w:p>
        </w:tc>
      </w:tr>
      <w:tr>
        <w:trPr>
          <w:trHeight w:val="21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3,000,000</w:t>
            </w:r>
          </w:p>
        </w:tc>
      </w:tr>
      <w:tr>
        <w:trPr>
          <w:trHeight w:val="21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Jan. 26, 2027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Feb. 19, 2027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Mar. 10, 2027</w:t>
            </w:r>
          </w:p>
        </w:tc>
      </w:tr>
      <w:tr>
        <w:trPr>
          <w:trHeight w:val="21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 18% upon event of default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 18% upon event of default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 18% upon event of default</w:t>
            </w:r>
          </w:p>
        </w:tc>
      </w:tr>
      <w:tr>
        <w:trPr>
          <w:trHeight w:val="21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conversion price</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18.75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18.75</w:t>
            </w:r>
          </w:p>
        </w:tc>
      </w:tr>
      <w:tr>
        <w:trPr>
          <w:trHeight w:val="194"/>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jc w:val="right"/>
              <w:ind w:right="32"/>
              <w:spacing w:after="0" w:line="194" w:lineRule="exact"/>
              <w:rPr>
                <w:sz w:val="20"/>
                <w:szCs w:val="20"/>
                <w:color w:val="auto"/>
              </w:rPr>
            </w:pPr>
            <w:r>
              <w:rPr>
                <w:rFonts w:ascii="Times New Roman" w:cs="Times New Roman" w:eastAsia="Times New Roman" w:hAnsi="Times New Roman"/>
                <w:sz w:val="18"/>
                <w:szCs w:val="18"/>
                <w:color w:val="auto"/>
              </w:rPr>
              <w:t>85% of lowest daily VWAP over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Pr>
          <w:p>
            <w:pPr>
              <w:jc w:val="right"/>
              <w:ind w:right="12"/>
              <w:spacing w:after="0" w:line="194" w:lineRule="exact"/>
              <w:rPr>
                <w:sz w:val="20"/>
                <w:szCs w:val="20"/>
                <w:color w:val="auto"/>
              </w:rPr>
            </w:pPr>
            <w:r>
              <w:rPr>
                <w:rFonts w:ascii="Times New Roman" w:cs="Times New Roman" w:eastAsia="Times New Roman" w:hAnsi="Times New Roman"/>
                <w:sz w:val="18"/>
                <w:szCs w:val="18"/>
                <w:color w:val="auto"/>
              </w:rPr>
              <w:t>85% of lowest daily VWAP over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Pr>
          <w:p>
            <w:pPr>
              <w:jc w:val="right"/>
              <w:ind w:right="12"/>
              <w:spacing w:after="0" w:line="194" w:lineRule="exact"/>
              <w:rPr>
                <w:sz w:val="20"/>
                <w:szCs w:val="20"/>
                <w:color w:val="auto"/>
              </w:rPr>
            </w:pPr>
            <w:r>
              <w:rPr>
                <w:rFonts w:ascii="Times New Roman" w:cs="Times New Roman" w:eastAsia="Times New Roman" w:hAnsi="Times New Roman"/>
                <w:sz w:val="18"/>
                <w:szCs w:val="18"/>
                <w:color w:val="auto"/>
              </w:rPr>
              <w:t>85% of lowest daily VWAP over</w:t>
            </w: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Variable conversion price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7"/>
              </w:rPr>
              <w:t>seven trading days, subject to floor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7"/>
              </w:rPr>
              <w:t>seven trading days, subject to floor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7"/>
              </w:rPr>
              <w:t>seven trading days, subject to floor</w:t>
            </w:r>
          </w:p>
        </w:tc>
      </w:tr>
      <w:tr>
        <w:trPr>
          <w:trHeight w:val="21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Floor price</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w:t>
            </w: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Convertible debt, warrant and related financial statement presentation reconciliation (USD in thousands)</w:t>
            </w:r>
          </w:p>
        </w:tc>
        <w:tc>
          <w:tcPr>
            <w:tcW w:w="15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Amount, KUSD</w:t>
            </w:r>
          </w:p>
        </w:tc>
      </w:tr>
      <w:tr>
        <w:trPr>
          <w:trHeight w:val="205"/>
        </w:trPr>
        <w:tc>
          <w:tcPr>
            <w:tcW w:w="96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i w:val="1"/>
                <w:iCs w:val="1"/>
                <w:color w:val="auto"/>
              </w:rPr>
              <w:t xml:space="preserve">Balance Sheet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March 31, 2026</w:t>
            </w:r>
          </w:p>
        </w:tc>
        <w:tc>
          <w:tcPr>
            <w:tcW w:w="1560" w:type="dxa"/>
            <w:vAlign w:val="bottom"/>
            <w:tcBorders>
              <w:bottom w:val="single" w:sz="8" w:color="auto"/>
            </w:tcBorders>
            <w:shd w:val="clear" w:color="auto" w:fill="CCEEFF"/>
          </w:tcPr>
          <w:p>
            <w:pPr>
              <w:spacing w:after="0"/>
              <w:rPr>
                <w:sz w:val="17"/>
                <w:szCs w:val="17"/>
                <w:color w:val="auto"/>
              </w:rPr>
            </w:pPr>
          </w:p>
        </w:tc>
      </w:tr>
      <w:tr>
        <w:trPr>
          <w:trHeight w:val="205"/>
        </w:trPr>
        <w:tc>
          <w:tcPr>
            <w:tcW w:w="96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Gross convertible notes payable</w:t>
            </w:r>
          </w:p>
        </w:tc>
        <w:tc>
          <w:tcPr>
            <w:tcW w:w="1560" w:type="dxa"/>
            <w:vAlign w:val="bottom"/>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4,350</w:t>
            </w:r>
          </w:p>
        </w:tc>
      </w:tr>
      <w:tr>
        <w:trPr>
          <w:trHeight w:val="212"/>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r>
      <w:tr>
        <w:trPr>
          <w:trHeight w:val="212"/>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Convertible notes payable, net of discount</w:t>
            </w: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699</w:t>
            </w:r>
          </w:p>
        </w:tc>
      </w:tr>
      <w:tr>
        <w:trPr>
          <w:trHeight w:val="212"/>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conversion derivative liability</w:t>
            </w:r>
          </w:p>
        </w:tc>
        <w:tc>
          <w:tcPr>
            <w:tcW w:w="1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3,708</w:t>
            </w:r>
          </w:p>
        </w:tc>
      </w:tr>
      <w:tr>
        <w:trPr>
          <w:trHeight w:val="212"/>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r>
      <w:tr>
        <w:trPr>
          <w:trHeight w:val="212"/>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 APIC (equity)</w:t>
            </w:r>
          </w:p>
        </w:tc>
        <w:tc>
          <w:tcPr>
            <w:tcW w:w="1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1,420</w:t>
            </w:r>
          </w:p>
        </w:tc>
      </w:tr>
      <w:tr>
        <w:trPr>
          <w:trHeight w:val="212"/>
        </w:trPr>
        <w:tc>
          <w:tcPr>
            <w:tcW w:w="9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Income Statement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Months Ended March 31, 2026</w:t>
            </w:r>
          </w:p>
        </w:tc>
        <w:tc>
          <w:tcPr>
            <w:tcW w:w="1560" w:type="dxa"/>
            <w:vAlign w:val="bottom"/>
          </w:tcPr>
          <w:p>
            <w:pPr>
              <w:spacing w:after="0"/>
              <w:rPr>
                <w:sz w:val="18"/>
                <w:szCs w:val="18"/>
                <w:color w:val="auto"/>
              </w:rPr>
            </w:pPr>
          </w:p>
        </w:tc>
      </w:tr>
      <w:tr>
        <w:trPr>
          <w:trHeight w:val="212"/>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Day-one loss on derivative liability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12"/>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Gain on change in fair value of embedded derivatives</w:t>
            </w: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591</w:t>
            </w:r>
          </w:p>
        </w:tc>
      </w:tr>
      <w:tr>
        <w:trPr>
          <w:trHeight w:val="212"/>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Coupon interest expense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2"/>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Debt discount amortization expense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2"/>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w:t>
            </w: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initial fair value of the bifurcated embedded conversion derivative liabilities exceeded the cash proceeds allocated to the debt host because the valuation reflects the variable conversion features, floor prices and probability-weighted settlement outcomes under the convertible debenture terms. This resulted in a recognized loss of $1,083.</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embedded conversion features were bifurcated and recognized as derivative liabilities measured at fair value. Changes in fair value are recognized in earnings. Debt discount is amortized to interest expense over the expected term of the convertible debentures. The balance sheet presentation separates (i) the convertible debt host, net of unamortized discount, (ii) accrued interest payable, and (iii) embedded conversion derivative liabilities. Accrued interest payable is not included in convertible notes payable, net of discount, because it represents separately accrued contractual coupon interest. Cash proceeds from convertible debentures and pre-funded warrants are presented as financing cash inflows, the pre-funded warrant APIC allocation is presented within shareholders’ equity, and the embedded conversion derivative liabilities and convertible debt host are presented as separate balance sheet captions.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Accounts Payable, Accrued Expenses and Other Liabilities</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3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 detail (USD in thousands)</w:t>
            </w: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December 31, 2025</w:t>
            </w:r>
          </w:p>
        </w:tc>
      </w:tr>
      <w:tr>
        <w:trPr>
          <w:trHeight w:val="205"/>
        </w:trPr>
        <w:tc>
          <w:tcPr>
            <w:tcW w:w="80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Legal fees</w:t>
            </w:r>
          </w:p>
        </w:tc>
        <w:tc>
          <w:tcPr>
            <w:tcW w:w="1580" w:type="dxa"/>
            <w:vAlign w:val="bottom"/>
            <w:tcBorders>
              <w:top w:val="single" w:sz="8" w:color="auto"/>
            </w:tcBorders>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831</w:t>
            </w:r>
          </w:p>
        </w:tc>
        <w:tc>
          <w:tcPr>
            <w:tcW w:w="1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635</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Accounting and auditing fees</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 payable and accrued expenses</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w:t>
            </w:r>
          </w:p>
        </w:tc>
      </w:tr>
      <w:tr>
        <w:trPr>
          <w:trHeight w:val="231"/>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0"/>
                <w:szCs w:val="20"/>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814</w:t>
            </w: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 caption (USD in thousands)</w:t>
            </w: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December 31, 2025</w:t>
            </w:r>
          </w:p>
        </w:tc>
      </w:tr>
      <w:tr>
        <w:trPr>
          <w:trHeight w:val="205"/>
        </w:trPr>
        <w:tc>
          <w:tcPr>
            <w:tcW w:w="80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Accounts payable and accrued expenses</w:t>
            </w:r>
          </w:p>
        </w:tc>
        <w:tc>
          <w:tcPr>
            <w:tcW w:w="1580" w:type="dxa"/>
            <w:vAlign w:val="bottom"/>
            <w:tcBorders>
              <w:top w:val="single" w:sz="8" w:color="auto"/>
            </w:tcBorders>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1,015</w:t>
            </w:r>
          </w:p>
        </w:tc>
        <w:tc>
          <w:tcPr>
            <w:tcW w:w="1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814</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and other tax liabilities</w:t>
            </w: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r>
      <w:tr>
        <w:trPr>
          <w:trHeight w:val="231"/>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of discontinued operations classified as held for sale, including lease liabilities</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20"/>
                <w:szCs w:val="20"/>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983</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Company’s lease balances relate to the Subsidiary and the legacy solar business. As of March 31, 2026, the related right-of-use asset and lease obligations were included in assets and liabilities of discontinued operations classified as held for sale because the lease was associated with the discontinued component. The lease measurement was calculated using a 122-month lease term and a weighted-average discount rate of 18.0%. Source lease amortization schedules and the December 31, 2025 lease support were maintained in euros; the amounts disclosed below are presented in U.S. dollars and rounded to the nearest thousand. Subsequent to quarter end, the SPA required the parties to use their best efforts to transfer the Munich lease to the Subsidiary as lessee by June 30, 2026, with a full release of the Company from further liability under the lease; if such transfer is not completed by that date, the Company has the right to terminate the lease agreement. The Company did not identify a material continuing lease obligation outside the discontinued operations disposal group as of March 31, 2026. See Note 4 (Discontinued Operations and Assets and Liabilities Held for Sale) and Note 16 (Subsequent Events) for the related disclosures.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lease liability caption is presented together with other disposal-group liabilities because the disclosed amounts represent the total liabilities of the discontinued operations disposal group associated with the legacy solar business, including lease obligations. Lease cost and cash paid for lease liabilities for the three months ended March 31, 2026 and 2025 related to the discontinued component and are included in the discontinued operations amounts disclosed in Note 4; no material continuing lease cost or cash paid for leases was identified outside the discontinued operations disposal group.</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7900" w:type="dxa"/>
            <w:vAlign w:val="bottom"/>
            <w:tcBorders>
              <w:top w:val="single" w:sz="8" w:color="auto"/>
              <w:left w:val="single" w:sz="8" w:color="auto"/>
              <w:right w:val="single" w:sz="8" w:color="auto"/>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w w:val="98"/>
              </w:rPr>
              <w:t>Lease-related amounts and inputs included in HFS presentation (USD in thousands, except months and</w:t>
            </w:r>
          </w:p>
        </w:tc>
        <w:tc>
          <w:tcPr>
            <w:tcW w:w="1620" w:type="dxa"/>
            <w:vAlign w:val="bottom"/>
            <w:tcBorders>
              <w:top w:val="single" w:sz="8" w:color="auto"/>
              <w:right w:val="single" w:sz="8" w:color="auto"/>
            </w:tcBorders>
            <w:shd w:val="clear" w:color="auto" w:fill="CCEEFF"/>
          </w:tcPr>
          <w:p>
            <w:pPr>
              <w:spacing w:after="0"/>
              <w:rPr>
                <w:sz w:val="17"/>
                <w:szCs w:val="17"/>
                <w:color w:val="auto"/>
              </w:rPr>
            </w:pPr>
          </w:p>
        </w:tc>
        <w:tc>
          <w:tcPr>
            <w:tcW w:w="1720" w:type="dxa"/>
            <w:vAlign w:val="bottom"/>
            <w:tcBorders>
              <w:top w:val="single" w:sz="8" w:color="auto"/>
              <w:right w:val="single" w:sz="8" w:color="auto"/>
            </w:tcBorders>
            <w:shd w:val="clear" w:color="auto" w:fill="CCEEFF"/>
          </w:tcPr>
          <w:p>
            <w:pPr>
              <w:spacing w:after="0"/>
              <w:rPr>
                <w:sz w:val="17"/>
                <w:szCs w:val="17"/>
                <w:color w:val="auto"/>
              </w:rPr>
            </w:pPr>
          </w:p>
        </w:tc>
      </w:tr>
      <w:tr>
        <w:trPr>
          <w:trHeight w:val="232"/>
        </w:trPr>
        <w:tc>
          <w:tcPr>
            <w:tcW w:w="7900" w:type="dxa"/>
            <w:vAlign w:val="bottom"/>
            <w:tcBorders>
              <w:left w:val="single" w:sz="8" w:color="auto"/>
              <w:bottom w:val="single" w:sz="8" w:color="auto"/>
              <w:right w:val="single" w:sz="8" w:color="auto"/>
            </w:tcBorders>
            <w:shd w:val="clear" w:color="auto" w:fill="CCEEFF"/>
          </w:tcPr>
          <w:p>
            <w:pPr>
              <w:ind w:left="3440"/>
              <w:spacing w:after="0"/>
              <w:rPr>
                <w:sz w:val="20"/>
                <w:szCs w:val="20"/>
                <w:color w:val="auto"/>
              </w:rPr>
            </w:pPr>
            <w:r>
              <w:rPr>
                <w:rFonts w:ascii="Times New Roman" w:cs="Times New Roman" w:eastAsia="Times New Roman" w:hAnsi="Times New Roman"/>
                <w:sz w:val="18"/>
                <w:szCs w:val="18"/>
                <w:b w:val="1"/>
                <w:bCs w:val="1"/>
                <w:color w:val="auto"/>
              </w:rPr>
              <w:t>percentages)</w:t>
            </w:r>
          </w:p>
        </w:tc>
        <w:tc>
          <w:tcPr>
            <w:tcW w:w="1620" w:type="dxa"/>
            <w:vAlign w:val="bottom"/>
            <w:tcBorders>
              <w:bottom w:val="single" w:sz="8" w:color="auto"/>
              <w:right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72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5"/>
        </w:trPr>
        <w:tc>
          <w:tcPr>
            <w:tcW w:w="7900" w:type="dxa"/>
            <w:vAlign w:val="bottom"/>
            <w:tcBorders>
              <w:left w:val="single" w:sz="8" w:color="auto"/>
              <w:bottom w:val="single" w:sz="8" w:color="auto"/>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Right-of-use assets included in held-for-sale assets</w:t>
            </w:r>
          </w:p>
        </w:tc>
        <w:tc>
          <w:tcPr>
            <w:tcW w:w="1620" w:type="dxa"/>
            <w:vAlign w:val="bottom"/>
            <w:tcBorders>
              <w:bottom w:val="single" w:sz="8" w:color="auto"/>
              <w:right w:val="single" w:sz="8" w:color="auto"/>
            </w:tcBorders>
          </w:tcPr>
          <w:p>
            <w:pPr>
              <w:jc w:val="right"/>
              <w:ind w:right="92"/>
              <w:spacing w:after="0" w:line="205" w:lineRule="exact"/>
              <w:rPr>
                <w:sz w:val="20"/>
                <w:szCs w:val="20"/>
                <w:color w:val="auto"/>
              </w:rPr>
            </w:pPr>
            <w:r>
              <w:rPr>
                <w:rFonts w:ascii="Times New Roman" w:cs="Times New Roman" w:eastAsia="Times New Roman" w:hAnsi="Times New Roman"/>
                <w:sz w:val="18"/>
                <w:szCs w:val="18"/>
                <w:color w:val="auto"/>
              </w:rPr>
              <w:t>924</w:t>
            </w:r>
          </w:p>
        </w:tc>
        <w:tc>
          <w:tcPr>
            <w:tcW w:w="1720" w:type="dxa"/>
            <w:vAlign w:val="bottom"/>
            <w:tcBorders>
              <w:bottom w:val="single" w:sz="8" w:color="auto"/>
              <w:right w:val="single" w:sz="8" w:color="auto"/>
            </w:tcBorders>
          </w:tcPr>
          <w:p>
            <w:pPr>
              <w:jc w:val="right"/>
              <w:ind w:right="92"/>
              <w:spacing w:after="0" w:line="205" w:lineRule="exact"/>
              <w:rPr>
                <w:sz w:val="20"/>
                <w:szCs w:val="20"/>
                <w:color w:val="auto"/>
              </w:rPr>
            </w:pPr>
            <w:r>
              <w:rPr>
                <w:rFonts w:ascii="Times New Roman" w:cs="Times New Roman" w:eastAsia="Times New Roman" w:hAnsi="Times New Roman"/>
                <w:sz w:val="18"/>
                <w:szCs w:val="18"/>
                <w:color w:val="auto"/>
              </w:rPr>
              <w:t>673</w:t>
            </w:r>
          </w:p>
        </w:tc>
      </w:tr>
      <w:tr>
        <w:trPr>
          <w:trHeight w:val="205"/>
        </w:trPr>
        <w:tc>
          <w:tcPr>
            <w:tcW w:w="7900" w:type="dxa"/>
            <w:vAlign w:val="bottom"/>
            <w:tcBorders>
              <w:left w:val="single" w:sz="8" w:color="auto"/>
              <w:bottom w:val="single" w:sz="8" w:color="auto"/>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Lease liabilities and included in held-for-sale liabilities</w:t>
            </w:r>
          </w:p>
        </w:tc>
        <w:tc>
          <w:tcPr>
            <w:tcW w:w="1620" w:type="dxa"/>
            <w:vAlign w:val="bottom"/>
            <w:tcBorders>
              <w:bottom w:val="single" w:sz="8" w:color="auto"/>
              <w:right w:val="single" w:sz="8" w:color="auto"/>
            </w:tcBorders>
          </w:tcPr>
          <w:p>
            <w:pPr>
              <w:jc w:val="right"/>
              <w:ind w:right="92"/>
              <w:spacing w:after="0" w:line="205" w:lineRule="exact"/>
              <w:rPr>
                <w:sz w:val="20"/>
                <w:szCs w:val="20"/>
                <w:color w:val="auto"/>
              </w:rPr>
            </w:pPr>
            <w:r>
              <w:rPr>
                <w:rFonts w:ascii="Times New Roman" w:cs="Times New Roman" w:eastAsia="Times New Roman" w:hAnsi="Times New Roman"/>
                <w:sz w:val="18"/>
                <w:szCs w:val="18"/>
                <w:color w:val="auto"/>
              </w:rPr>
              <w:t>652</w:t>
            </w:r>
          </w:p>
        </w:tc>
        <w:tc>
          <w:tcPr>
            <w:tcW w:w="1720" w:type="dxa"/>
            <w:vAlign w:val="bottom"/>
            <w:tcBorders>
              <w:bottom w:val="single" w:sz="8" w:color="auto"/>
              <w:right w:val="single" w:sz="8" w:color="auto"/>
            </w:tcBorders>
          </w:tcPr>
          <w:p>
            <w:pPr>
              <w:jc w:val="right"/>
              <w:ind w:right="92"/>
              <w:spacing w:after="0" w:line="205" w:lineRule="exact"/>
              <w:rPr>
                <w:sz w:val="20"/>
                <w:szCs w:val="20"/>
                <w:color w:val="auto"/>
              </w:rPr>
            </w:pPr>
            <w:r>
              <w:rPr>
                <w:rFonts w:ascii="Times New Roman" w:cs="Times New Roman" w:eastAsia="Times New Roman" w:hAnsi="Times New Roman"/>
                <w:sz w:val="18"/>
                <w:szCs w:val="18"/>
                <w:color w:val="auto"/>
              </w:rPr>
              <w:t>673</w:t>
            </w:r>
          </w:p>
        </w:tc>
      </w:tr>
      <w:tr>
        <w:trPr>
          <w:trHeight w:val="205"/>
        </w:trPr>
        <w:tc>
          <w:tcPr>
            <w:tcW w:w="7900" w:type="dxa"/>
            <w:vAlign w:val="bottom"/>
            <w:tcBorders>
              <w:left w:val="single" w:sz="8" w:color="auto"/>
              <w:bottom w:val="single" w:sz="8" w:color="auto"/>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Weighted-average lease term used in measurement (months)</w:t>
            </w:r>
          </w:p>
        </w:tc>
        <w:tc>
          <w:tcPr>
            <w:tcW w:w="1620" w:type="dxa"/>
            <w:vAlign w:val="bottom"/>
            <w:tcBorders>
              <w:bottom w:val="single" w:sz="8" w:color="auto"/>
              <w:right w:val="single" w:sz="8" w:color="auto"/>
            </w:tcBorders>
          </w:tcPr>
          <w:p>
            <w:pPr>
              <w:jc w:val="right"/>
              <w:ind w:right="92"/>
              <w:spacing w:after="0" w:line="205" w:lineRule="exact"/>
              <w:rPr>
                <w:sz w:val="20"/>
                <w:szCs w:val="20"/>
                <w:color w:val="auto"/>
              </w:rPr>
            </w:pPr>
            <w:r>
              <w:rPr>
                <w:rFonts w:ascii="Times New Roman" w:cs="Times New Roman" w:eastAsia="Times New Roman" w:hAnsi="Times New Roman"/>
                <w:sz w:val="18"/>
                <w:szCs w:val="18"/>
                <w:color w:val="auto"/>
              </w:rPr>
              <w:t>122</w:t>
            </w:r>
          </w:p>
        </w:tc>
        <w:tc>
          <w:tcPr>
            <w:tcW w:w="1720" w:type="dxa"/>
            <w:vAlign w:val="bottom"/>
            <w:tcBorders>
              <w:bottom w:val="single" w:sz="8" w:color="auto"/>
              <w:right w:val="single" w:sz="8" w:color="auto"/>
            </w:tcBorders>
          </w:tcPr>
          <w:p>
            <w:pPr>
              <w:jc w:val="right"/>
              <w:ind w:right="92"/>
              <w:spacing w:after="0" w:line="205" w:lineRule="exact"/>
              <w:rPr>
                <w:sz w:val="20"/>
                <w:szCs w:val="20"/>
                <w:color w:val="auto"/>
              </w:rPr>
            </w:pPr>
            <w:r>
              <w:rPr>
                <w:rFonts w:ascii="Times New Roman" w:cs="Times New Roman" w:eastAsia="Times New Roman" w:hAnsi="Times New Roman"/>
                <w:sz w:val="18"/>
                <w:szCs w:val="18"/>
                <w:color w:val="auto"/>
              </w:rPr>
              <w:t>122</w:t>
            </w:r>
          </w:p>
        </w:tc>
      </w:tr>
      <w:tr>
        <w:trPr>
          <w:trHeight w:val="205"/>
        </w:trPr>
        <w:tc>
          <w:tcPr>
            <w:tcW w:w="7900" w:type="dxa"/>
            <w:vAlign w:val="bottom"/>
            <w:tcBorders>
              <w:left w:val="single" w:sz="8" w:color="auto"/>
              <w:bottom w:val="single" w:sz="8" w:color="auto"/>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Weighted-average discount rate</w:t>
            </w:r>
          </w:p>
        </w:tc>
        <w:tc>
          <w:tcPr>
            <w:tcW w:w="1620" w:type="dxa"/>
            <w:vAlign w:val="bottom"/>
            <w:tcBorders>
              <w:bottom w:val="single" w:sz="8" w:color="auto"/>
              <w:right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18%</w:t>
            </w:r>
          </w:p>
        </w:tc>
        <w:tc>
          <w:tcPr>
            <w:tcW w:w="1720" w:type="dxa"/>
            <w:vAlign w:val="bottom"/>
            <w:tcBorders>
              <w:bottom w:val="single" w:sz="8" w:color="auto"/>
              <w:right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18%</w:t>
            </w: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1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The Company recorded no income tax expense for the three months ended March 31, 2026 or March 31, 2025. The Company continues to maintain valuation allowances against deferred tax assets where realization is not more likely than not. Income tax expense associated with discontinued operations was not material for the periods presented.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recognized $1,420 thousand of additional paid-in capital related to pre-funded warrants.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Nominal values of the Company’s share capital are denominated in euros under Dutch corporate law.</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accumulated other comprehensive income (loss) column in the statement of shareholders’ equity reflects cumulative translation adjustments arising from the change in reporting- currency realignment and the translation of euro-functional operations, as described in Note 2 (Basis of Presentation, Consolidation and Summary of Significant Accounting Policies). Total shareholders’ equity in the statement of shareholders’ equity reconciles to total shareholders’ equity presented in the condensed consolidated balance sheet for each period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Issued and</w:t>
            </w:r>
          </w:p>
        </w:tc>
        <w:tc>
          <w:tcPr>
            <w:tcW w:w="12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Issued and</w:t>
            </w: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Nominal value</w:t>
            </w:r>
          </w:p>
        </w:tc>
      </w:tr>
      <w:tr>
        <w:trPr>
          <w:trHeight w:val="212"/>
        </w:trPr>
        <w:tc>
          <w:tcPr>
            <w:tcW w:w="4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outstanding at</w:t>
            </w:r>
          </w:p>
        </w:tc>
        <w:tc>
          <w:tcPr>
            <w:tcW w:w="12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outstanding at</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 Dutch</w:t>
            </w:r>
          </w:p>
        </w:tc>
      </w:tr>
      <w:tr>
        <w:trPr>
          <w:trHeight w:val="232"/>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6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December 31, 2025</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corporate law</w:t>
            </w:r>
          </w:p>
        </w:tc>
        <w:tc>
          <w:tcPr>
            <w:tcW w:w="20" w:type="dxa"/>
            <w:vAlign w:val="bottom"/>
          </w:tcPr>
          <w:p>
            <w:pPr>
              <w:spacing w:after="0"/>
              <w:rPr>
                <w:sz w:val="20"/>
                <w:szCs w:val="20"/>
                <w:color w:val="auto"/>
              </w:rPr>
            </w:pPr>
          </w:p>
        </w:tc>
      </w:tr>
      <w:tr>
        <w:trPr>
          <w:trHeight w:val="205"/>
        </w:trPr>
        <w:tc>
          <w:tcPr>
            <w:tcW w:w="49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Ordinary shares</w:t>
            </w:r>
          </w:p>
        </w:tc>
        <w:tc>
          <w:tcPr>
            <w:tcW w:w="160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120,000,000</w:t>
            </w:r>
          </w:p>
        </w:tc>
        <w:tc>
          <w:tcPr>
            <w:tcW w:w="1680" w:type="dxa"/>
            <w:vAlign w:val="bottom"/>
            <w:gridSpan w:val="2"/>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1,424,834</w:t>
            </w:r>
          </w:p>
        </w:tc>
        <w:tc>
          <w:tcPr>
            <w:tcW w:w="1660" w:type="dxa"/>
            <w:vAlign w:val="bottom"/>
            <w:gridSpan w:val="3"/>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1,424,834</w:t>
            </w:r>
          </w:p>
        </w:tc>
        <w:tc>
          <w:tcPr>
            <w:tcW w:w="13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EUR 0.01</w:t>
            </w:r>
          </w:p>
        </w:tc>
        <w:tc>
          <w:tcPr>
            <w:tcW w:w="20" w:type="dxa"/>
            <w:vAlign w:val="bottom"/>
          </w:tcPr>
          <w:p>
            <w:pPr>
              <w:spacing w:after="0"/>
              <w:rPr>
                <w:sz w:val="17"/>
                <w:szCs w:val="17"/>
                <w:color w:val="auto"/>
              </w:rPr>
            </w:pPr>
          </w:p>
        </w:tc>
      </w:tr>
      <w:tr>
        <w:trPr>
          <w:trHeight w:val="21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High voting shares</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40,000</w:t>
            </w:r>
          </w:p>
        </w:tc>
        <w:tc>
          <w:tcPr>
            <w:tcW w:w="16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40,000</w:t>
            </w: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EUR 0.25</w:t>
            </w:r>
          </w:p>
        </w:tc>
        <w:tc>
          <w:tcPr>
            <w:tcW w:w="20" w:type="dxa"/>
            <w:vAlign w:val="bottom"/>
          </w:tcPr>
          <w:p>
            <w:pPr>
              <w:spacing w:after="0"/>
              <w:rPr>
                <w:sz w:val="18"/>
                <w:szCs w:val="18"/>
                <w:color w:val="auto"/>
              </w:rPr>
            </w:pPr>
          </w:p>
        </w:tc>
      </w:tr>
      <w:tr>
        <w:trPr>
          <w:trHeight w:val="21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6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1,401</w:t>
            </w:r>
          </w:p>
        </w:tc>
        <w:tc>
          <w:tcPr>
            <w:tcW w:w="16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1,401</w:t>
            </w:r>
          </w:p>
        </w:tc>
        <w:tc>
          <w:tcPr>
            <w:tcW w:w="1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EUR 300.00</w:t>
            </w:r>
          </w:p>
        </w:tc>
        <w:tc>
          <w:tcPr>
            <w:tcW w:w="20" w:type="dxa"/>
            <w:vAlign w:val="bottom"/>
          </w:tcPr>
          <w:p>
            <w:pPr>
              <w:spacing w:after="0"/>
              <w:rPr>
                <w:sz w:val="18"/>
                <w:szCs w:val="18"/>
                <w:color w:val="auto"/>
              </w:rPr>
            </w:pPr>
          </w:p>
        </w:tc>
      </w:tr>
      <w:tr>
        <w:trPr>
          <w:trHeight w:val="425"/>
        </w:trPr>
        <w:tc>
          <w:tcPr>
            <w:tcW w:w="4960" w:type="dxa"/>
            <w:vAlign w:val="bottom"/>
          </w:tcPr>
          <w:p>
            <w:pPr>
              <w:spacing w:after="0"/>
              <w:rPr>
                <w:sz w:val="24"/>
                <w:szCs w:val="24"/>
                <w:color w:val="auto"/>
              </w:rPr>
            </w:pPr>
          </w:p>
        </w:tc>
        <w:tc>
          <w:tcPr>
            <w:tcW w:w="160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49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bl>
    <w:p>
      <w:pPr>
        <w:sectPr>
          <w:pgSz w:w="11900" w:h="16838" w:orient="portrait"/>
          <w:cols w:equalWidth="0" w:num="1">
            <w:col w:w="11240"/>
          </w:cols>
          <w:pgMar w:left="320" w:top="8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13. Net Income (Loss) Per Share</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Basic net income (loss) per share is computed by dividing net income (loss) by the weighted-average shares outstanding during the period. Diluted net income (loss) per share gives effect to potentially dilutive securities when their effect is dilutive. For Q1 2026, potentially dilutive securities were excluded because the Company reported a net loss and inclusion would have been anti-dilutive.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12"/>
        </w:trPr>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7"/>
              </w:rPr>
              <w:t>ended March 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ended March 31,</w:t>
            </w:r>
          </w:p>
        </w:tc>
      </w:tr>
      <w:tr>
        <w:trPr>
          <w:trHeight w:val="2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5"/>
        </w:trPr>
        <w:tc>
          <w:tcPr>
            <w:tcW w:w="80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9,300</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7,802</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0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1,464,834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1,449,918</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potential ordinary shares</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8,852,935</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0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1,464,834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10,302,853</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income (loss) per share:</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6.41</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5.38</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 (loss) per share:</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0.90</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31"/>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0.75</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From time to time, the Company may be involved in claims and proceedings arising in the ordinary course of business. The Company records a liability for loss contingencies when a loss is probable and reasonably estimable. Management is not currently aware of any matter that it believes would have a material adverse effect on the Company’s condensed consolidated financial statements, except as otherwise disclosed in this Quarterly Report.</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Company’s commitments and contingencies include matters associated with the exit from the Subsidiary, lease-related obligations included in the discontinued operations disposal group, public-company obligations, financing arrangements and the Treasury Strategy.</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evaluates relationships and transactions for related-party disclosure under applicable SEC and U.S. GAAP requirements. The Company considered its financing arrangements, preferred share arrangements, voting limitations, conversion rights, applicable beneficial-ownership limitations, including the 4.99% limitation, and other contractual arrangements with Yorkville in evaluating related-party disclosure. Based on this evaluation and consistent with the Company’s historical treatment of similar arrangements, management identified Yorkville as a related party on the basis that YA II PN, Ltd. is the sole holder of the Company’s outstanding Preferred Shares, which constitute 100% of that class of the Company’s issued share capital, and that Yorkville has maintained a long-standing and material financing relationship with the Company. See Note 8 (Convertible Notes, Embedded Derivatives and Pre-Funded Warrants), Note 12 (Stockholders’ Equity) and Note 16 (Subsequent Events) for additional information. No additional related-party transactions have been identified other than matters disclosed elsewhere in this Quarterly Report relating to financing, governance and the disposition of the legacy solar operations conducted through the Subsidiary.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these condensed consolidated financial statements were issued. The following event occurring subsequent to March 31, 2026 is disclosed below.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 of Sono Motors GmbH.</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4, 2026, the Company entered into a Share Purchase and Transfer Agreement (the “SPA”) with (i) Vorratsla-160 M UG (haftungsbeschränkt) (in the future, OZERA UG (haftungsbeschränkt)), a German limited liability company whose sole shareholder is Denis Azhar, and (ii) Vorratsla-161 M UG (haftungsbeschränkt) (in the future, JanSol Invest UG (haftungsbeschränkt)), a German limited liability company whose sole shareholder is Jan Schiermeister (together, the “Purchasers”), and the Subsidiary. Mr. Azhar and Mr. Schiermeister are the current managing directors of the Subsidiary.</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SPA, the Company sold and transferred to the Purchasers, with immediate legal effect under German law and without conditions precedent, all 33,588 shares representing 100% of the outstanding share capital of the Subsidiary, with 50% transferred to each Purchaser. The purchase price for the shares was €1.00 in the aggregate. Simultaneously, the Company sold and assigned to the Purchasers its shareholder loan repayment claim against the Subsidiary, including accrued interest, with an outstanding amount of approximately €10.5 million as of April 29, 2026, for an aggregate purchase price of €1.00. Each Purchaser’s portion of the shareholder loan repayment claim is subject to (i) a two-year standstill undertaking by the Purchasers and (ii) a qualified subordination (qualifizierter Rangrücktritt) pursuant to German insolvency law under which the claim is subordinated to all other present and future creditors of the Subsidiary.</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SPA, the Company and the Subsidiary agreed to terminate their corporate services agreement with retroactive effect as of April 30, 2026. The SPA also requires the parties to use their best efforts to cause the lease agreement for the premises located at Waldmeisterstraße 93, 80935 Munich, Germany, under which the Company is the current lessee, to be transferred to the Subsidiary as lessee by no later than June 30, 2026, with a full release of the Company from any further liability thereunder; if such transfer is not completed by that date, the Company has the right to terminate the lease agreement. The Subsidiary granted the Company a worldwide, limited, non-exclusive, non-transferable, royalty-free, irrevocable license to use the “Sono” brand as company name and in connection with the Company's stock exchange listing, securities trading or stock ticker. The SPA is governed by the laws of Germany, and disputes arising under the SPA are subject to binding arbitration in Munich, Germany.</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Following the signing date of the SPA, the Company no longer holds any equity interest in, or exercises any control over, the Subsidiary. The Company will deconsolidate the Subsidiary upon loss of control in the second quarter of 2026 and will recognize any resulting gain or loss within discontinued operations in the period in which loss of control occurs.</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Because the Company recognized a $519 thousand loss on classification as held for sale in the first quarter of 2026 to reduce the disposal group based on the planned sale and nominal consideration subsequently documented in the SPA, the Company does not expect to recognize that same amount again as a deconsolidation loss in the second quarter of 2026. The final gain or loss on deconsolidation will be determined based on the Company’s consolidated U.S. GAAP carrying amounts at the date control is lost, after considering the held-for-sale impairment recognized in the first quarter, sale-date changes, release of any cumulative translation adjustment attributable to the Subsidiary, taxes, transaction costs, retained obligations and other closing adjustments.</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SPA described above is the operative transaction document for the assignment of the shareholder loan repayment claim, including the approximately €10.5 million outstanding amount as of April 29, 2026, the aggregate €1.00 consideration, the two-year standstill and the qualified subordination terms described above. The shareholder loan receivable recorded by the Company and the corresponding payable recorded by the Subsidiary were intra-entity balances eliminated in consolidation prior to the transaction. Accordingly, the shareholder loan was not included as a separate consolidated receivable or liability in the held-for-sale impairment or deconsolidation analysis. For consolidated reporting purposes, the assignment of the shareholder loan claim as part of the SPA affects the sale and deconsolidation analysis in the period in which control is lost, rather than creating a separate receivable in the March 31, 2026 consolidated balance sheet. Parent-company stand-alone accounting for the shareholder loan may differ from the consolidated accounting treatment described herein.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Financing.</w:t>
      </w:r>
    </w:p>
    <w:p>
      <w:pPr>
        <w:spacing w:after="0" w:line="21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Subsequent to March 31, 2026, on April 28, 2026, the Company received an additional tranche of funding from YA II PN, Ltd. (“Yorkville”) in the form of a convertible debenture issued by the Company to Yorkville in the aggregate principal amount of $700 thousand (the “April 2026 Debenture”).</w:t>
      </w:r>
    </w:p>
    <w:p>
      <w:pPr>
        <w:spacing w:after="0" w:line="1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April 2026 Debenture matures on April 28, 2027, which maturity date may be extended at the option of Yorkville. Further, interest accrues on the outstanding principal balance of the April 2026 Debenture at an annual rate of 12%, which will increase to an annual rate of 18% upon an Event of Default (as defined in the April 2026 Debenture), for so long as such Event of Default remains uncured. Yorkville will have the right to convert the April 2026 Debenture into ordinary shares of the Company at the lower of (i) a price per ordinary share equal to $18.75 or (ii) 85% of the lowest daily volume weighted average price of the ordinary shares during the seven consecutive trading days immediately preceding the conversion date or other date of determination (the “Variable Conversion Price”); provided that the Variable Conversion Price may not be lower than the Floor Price (as defined in the April 2026 Debenture) then in effect or the nominal value of one ordinary share. Net proceeds to the Company from the April 2026 Debenture were $700,000.</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April 2026 Debenture was issued without registration under the Securities Act of 1933, as amended (the “Securities Act”), in reliance on the exemptions provided by Section 4(a)(2) of the Securities Act as a transaction not involving a public offering and in reliance on similar exemptions under applicable state laws. Any ordinary shares of the Company issuable upon conversion of the April 2026 Debenture will be issued without registration under the Securities Act in reliance on applicable exemptions therefrom.</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foregoing description of the April 2026 Debenture does not purport to be complete and is qualified in its entirety by reference to the full text of the April 2026 Debenture, which is attached to this Quarterly Report as Exhibit 10.11 and is incorporated herein by reference.</w:t>
      </w:r>
    </w:p>
    <w:p>
      <w:pPr>
        <w:spacing w:after="0" w:line="163"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Because the funding under the April 2026 Debenture occurred after March 31, 2026, the additional tranche is not reflected in the Company’s condensed consolidated balance sheet, notes payable balance, fair value measurement or notes payable rollforward as of and for the three months ended March 31, 2026.</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08" w:right="339" w:bottom="204"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and analysis of our financial condition and results of operations together with our unaudited condensed consolidated financial statements and related notes thereto included in Part I, Item 1 of this Quarterly Report on Form 10-Q for the three months ended March 31, 2026 (this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Quarterly Report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our audited consolidated financial statements and related notes thereto for the fiscal year ended December 31, 2025 included in our Annual Report on Form 10-K filed with the U.S. Securities and Exchange Commission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on April 1, 2026 (our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2025 Form 10-K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This discussion contains forward-looking statements based upon current expectations that involve risks and uncertainties. Our actual results may differ materially from those anticipated in these forward-looking statements as a result of various factors, including those set forth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Part I, Item 1A of our 2025 Form 10-K, as updated from time to time in our other filings with the SEC. You should carefully read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 gain an understanding of the important factors that could cause actual results to differ materially from our forward-looking statements. Please also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below.</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During the period from January 1, 2026 through March 14, 2026, Sono Group N.V.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Sono N.V.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conducted its business through its subsidiary, Sono Motors GmbH, a German limited liability company (Gesellschaft mit beschr</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i w:val="1"/>
          <w:iCs w:val="1"/>
          <w:color w:val="auto"/>
        </w:rPr>
        <w:t xml:space="preserve">nkter Haftung)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Unless otherwise indicated or the context otherwise requires, the terms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Sono Group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similar terms, refer to Sono Group N.V. together with its consolidated subsidiaries as of March 31, 2026. On March 14, 2026,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supervisory board resolved to terminate all current and future funding commitments to the Subsidiary and to exit the legacy solar operations conducted through the Subsidiary with immediate effect. Subsequent to March 31, 2026, on May 4, 2026, the Company sold and transferred 100% of the outstanding share capital of the Subsidiary to third-party purchasers;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below and Note 16 (Subsequent Events) to the unaudited condensed consolidated financial statements included in Part I, Item 1 of this Quarterly Report for additional information.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the Private Securities Litigation Reform Act of 1995 that relate to our current expectations and views of future events. These statements relate to events that involve known and unknown risks, uncertainties and other factors, including those listed under “Risk Factors” in Item 1A of Part I of our 2025 Form 10-K, which may cause our actual results, performance or achievements to be materially different from any future results, performance or achievements expressed or implied by the forward-looking statements.</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some cases, these forward-looking statements can be identified by words or phrases such as “believe,” “may,” “will,” “expect,” “estimate,” “could,” “should,” “anticipate,” “aim,” “intend,” “plan,” “potential,” “forecast,” “project,” “target,” “continue,” “is/are likely to” or other similar or comparable expressions (including the negative of any of the foregoing). These forward-looking statements include all matters that are not historical facts and are statements regarding our intentions, beliefs or current expectations. Forward-looking statements involve inherent known and unknown risks, uncertainties and contingencies because they relate to events and depend on circumstances that may or may not occur in the future and could cause our actual results, performance or achievements to differ materially from those expressed or implied by such forward-looking statements. Forward-looking statements contained in this Quarterly Report include, but are not limited to, statements about:</w:t>
      </w:r>
    </w:p>
    <w:p>
      <w:pPr>
        <w:spacing w:after="0" w:line="187" w:lineRule="exact"/>
        <w:rPr>
          <w:sz w:val="20"/>
          <w:szCs w:val="20"/>
          <w:color w:val="auto"/>
        </w:rPr>
      </w:pPr>
    </w:p>
    <w:p>
      <w:pPr>
        <w:jc w:val="both"/>
        <w:ind w:left="640" w:hanging="316"/>
        <w:spacing w:after="0" w:line="259"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digital asset treasury strategy (the “Treasury Strategy”), including our planned acquisition and holding of Bitcoin, our covered-call yield strategy, our arrangements with Blockchain.com (BVI) II Limited (“Blockchain.com”) under the ISDA Master Agreement and related transaction documents, and any associated derivative and hedging transactions;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volatility of Bitcoin and other digital assets, and the related impact on our financial condition, results of operations and liquidity;</w:t>
      </w:r>
    </w:p>
    <w:p>
      <w:pPr>
        <w:spacing w:after="0" w:line="243"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exit from the legacy solar operations conducted through the Subsidiary, which was completed subsequent to the three months ended March 31, 2026 through the execution and consummation of the SPA pursuant to which the Company sold the Subsidiary on May 4, 2026;</w:t>
      </w:r>
    </w:p>
    <w:p>
      <w:pPr>
        <w:spacing w:after="0" w:line="163"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planned solicitation of the ratification by our shareholders of our engagement in the Treasury Strategy at an extraordinary general meeting of shareholders;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21" w:name="page22"/>
    <w:bookmarkEnd w:id="21"/>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continued listing standards of The Nasdaq Stock Market LLC (“Nasdaq”);</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our ability to continue as a going concern;</w:t>
      </w:r>
    </w:p>
    <w:p>
      <w:pPr>
        <w:spacing w:after="0" w:line="243"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 over financial reporting and disclosure controls and procedures, and our plans to remediate identified material weaknesses; and</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regulatory environment for digital assets and the development of the markets in which we operate.</w:t>
      </w:r>
    </w:p>
    <w:p>
      <w:pPr>
        <w:spacing w:after="0" w:line="2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These forward-looking statements are subject to known and unknown risks, uncertainties and assumptions, many of which are beyond our control. In addition, these forward-looking statements reflect our current views with respect to future events and trends that we believe may affect our financial condition, results of operations, business strategy, short-term and long-term business operations and objectives, and financial needs. These forward-looking statements are neither promises nor guarantees of future performance. We caution you that forward-looking statements are not guarantees of future performance and that our actual results of operations, financial condition and liquidity, and the development of the markets in which we operate, may differ materially from those made in or suggested by the forward-looking statements contained in this Quarterly Report. Actual outcomes may differ materially from the information contained in the forward-looking statements as a result of a number of factors, including, without limitation, the risks, uncertainties and assumptions described under “Risk Factors” in Item 1A of Part I of our 2025 Form 10-K, in this “Management’s Discussion and Analysis of Financial Condition and Results of Operations” and elsewhere in this Quarterly Report.</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forward-looking statements made herein speak only as of the date of this Quarterly Report,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will occur. Except as required by applicable law, we undertake no obligation to update any of these forward-looking statements for any reason after the date of this Quarterly Report or to conform these statements to actual results or revised expectations.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using our investor relations website at https://ir.sonomotors.com. We therefore encourage investors and others interested in the Company to review the information that we make available on our website, in addition to following our filings with the SEC, webcasts, press releases and conference calls. Information contained on our website is not part of this Quarterly Report.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period from January 1, 2026 through March 14, 2026, our business consisted of the legacy solar operations conducted through the Subsidiary.</w:t>
      </w:r>
    </w:p>
    <w:p>
      <w:pPr>
        <w:spacing w:after="0" w:line="2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March 14, 2026, the Company’s supervisory board resolved to terminate all current and future funding commitments to the Subsidiary and to exit the legacy solar operations conducted through the Subsidiary, with immediate effect. The Company’s decision was driven by the Subsidiary’s historical lack of profitability, which has resulted in the Company having to continuously provide funding to the Subsidiary, and thus incur losses, and a determination by our management board that there was not a clear path for the Subsidiary to achieve profitability in a reasonably desirable timeframe, and thereby avoid future losses to the Company. This decision was made in conjunction with the decision on March 14, 2026 by our management board, with the approval of our supervisory board, to adopt the Treasury Strategy effective that same day. Under the Treasury Strategy, the principal holding in our treasury reserve on our balance sheet is allocated to digital assets, principally Bitcoin (“Bitcoin” or “BTC”), by applying a covered-call yield strategy. The Treasury Strategy is projected to generate cash flow for the Company in the first year of its execution. The Company is also exploring other strategic alternatives to maximize shareholder value. We intend to solicit the ratification by our shareholders of our engagement in the Treasury Strategy at an extraordinary general meeting of shareholders. Under Dutch law, the ratification by our shareholders of our engagement in the Treasury Strategy is required to successfully implement the Treasury Strategy.</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connection with the Treasury Strategy, on March 10, 2026, Sono N.V. entered into a 2002 ISDA Master Agreement with Blockchain.com (the “ISDA Master Agreement”), facilitating Sono N.V. to enter into derivative and/or hedging transactions (collectively, the “Transactions”) to manage the risk associated with the Treasury Strategy. The derivative and hedging transactions are governed by the ISDA Master Agreement, including the related Schedule executed on March 10, 2026 (the “Schedule”). The structure of the Transactions may include forwards, swaps, futures, options or other derivative transactions in respect of digital assets. In addition, Sono N.V. and Blockchain.com entered into a Credit Support Annex to the Schedule, dated as of March 10, 2026 (the “Credit Support Annex”), which sets forth the terms upon which Sono N.V. is required to deliver additional collateral to Blockchain.com (and Blockchain.com is required to return collateral to Sono N.V.) depending upon the mark-to-market exposure under the ISDA Master Agreement and the value of the collateral. The ISDA Master Agreement, the Schedule and the Credit Support Annex are governed by the laws of England and Wales.</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March 31, 2026, the Subsidiary was presented as a discontinued operation and disposal group classified as held for sale. Our continuing operations consist of parent-company activities, public-company obligations, financing-related items and our digital asset treasury activities. As a result of these developments, our financial information for the periods presented in this Quarterly Report may in many respects not be comparable to our historical financial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as a single business segment.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Developments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 of Sono Motors GmbH.</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May 4, 2026, we entered into the SPA with (i) Vorratsla-160 M UG (haftungsbeschränkt), a German limited liability company whose sole shareholder is Denis Azhar, and (ii) Vorratsla-161 M UG (haftungsbeschränkt), a German limited liability company whose sole shareholder is Jan Schiermeister (together, the “Purchasers”), and the Subsidiary. Mr. Azhar and Mr. Schiermeister are the current managing directors of the Subsidiary. Pursuant to the SPA, we sold and transferred to the Purchasers, with immediate legal effect under German law and without conditions precedent, all 33,588 shares representing 100% of the outstanding share capital of the Subsidiary, with 50% transferred to each Purchaser. The purchase price for the shares was €1.00 in the aggregate. Simultaneously, we sold and assigned to the Purchasers our shareholder loan repayment claim, including accrued interest, with an outstanding amount of approximately €10.5 million as of April 29, 2026, for an aggregate purchase price of €1.00. Each Purchaser’s portion of the shareholder loan repayment claim is subject to (i) a two-year standstill undertaking by the Purchasers and (ii) a qualified subordination (qualifizierter Rangrücktritt) pursuant to German insolvency law under which the claim is subordinated to all other present and future creditors of the Subsidiary.</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SPA, we and the Subsidiary agreed to terminate our corporate services agreement with retroactive effect as of April 30, 2026. The SPA also requires the parties to use their best efforts to cause the lease agreement for the premises located at Waldmeisterstraße 93, 80935 Munich, Germany, under which we are the current lessee, to be transferred to the Subsidiary as lessee by no later than June 30, 2026, with a full release of us from any further liability thereunder; if such transfer is not completed by that date, we have the right to terminate the lease agreement. The Subsidiary granted us a worldwide, limited, non-exclusive, non-transferable, royalty-free, irrevocable license to use the “Sono” brand as company name and in connection with our stock exchange listing, securities trading or stock ticker. The SPA is governed by the laws of Germany, and disputes arising under the SPA are subject to binding arbitration in Munich, Germany.</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Following the signing date of the SPA, we no longer hold any equity interest in, or exercise any control over, the Subsidiary. We will deconsolidate the Subsidiary upon loss of control and recognize any resulting gain or loss within discontinued operations in the period in which the loss of control occurs.</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Because we recognized a $519 thousand loss on classification as held for sale in the first quarter of 2026 to reduce the disposal group based on the planned sale and nominal consideration subsequently documented in the SPA, we do not expect to recognize that same amount again as a deconsolidation loss in the second quarter of 2026. The final gain or loss on deconsolidation will be determined based on our consolidated U.S. GAAP carrying amounts at the date control is lost, after considering the held-for-sale impairment recognized in the first quarter, sale-date changes, release of any cumulative translation adjustment attributable to the Subsidiary, taxes, transaction costs, retained obligations and other closing adjustments. See Note 16 (Subsequent Events) to the unaudited condensed consolidated financial statements included in Part I, Item 1 of this Quarterly Report for additional information.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Change in Reporting Currency.</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Effective January 1, 2026, we changed our reporting currency from the euro to the U.S. dollar. We have recast all prior-period financial information presented in our condensed consolidated financial statements into U.S. dollars as if the U.S. dollar had been our reporting currency since the earliest period presented. The change in reporting currency does not change the underlying functional-currency determination for each distinct and separable operation. The Subsidiary continues to have the euro as its functional currency. See Note 2 (Basis of Presentation, Consolidation and Summary of Significant Accounting Policies) to the unaudited condensed consolidated financial statements included in Part I, Item 1 of this Quarterly Report for additional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Financing.</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Subsequent to March 31, 2026, on April 28, 2026, the Company received an additional tranche of funding from Yorkville in the form of a convertible debenture issued by the Company to Yorkville in the aggregate principal amount of $700 thousand.</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April 2026 Debenture matures on April 28, 2027, which maturity date may be extended at the option of Yorkville. Further, interest accrues on the outstanding principal balance of the April 2026 Debenture at an annual rate of 12%, which will increase to an annual rate of 18% upon an Event of Default, for so long as such Event of Default remains uncured. Yorkville will have the right to convert the April 2026 Debenture into ordinary shares of the Company at the lower of (i) a price per ordinary share equal to $18.75 or (ii) 85% of the lowest daily volume weighted average price of the ordinary shares during the seven consecutive trading days immediately preceding the conversion date or other date of determination (the “Variable Conversion Price”); provided that the Variable Conversion Price may not be lower than the Floor Price then in effect or the nominal value of one ordinary share. Net proceeds to the Company from the April 2026 Debenture were $700,000.</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April 2026 Debenture was issued without registration under the Securities Act of 1933, as amended (the “Securities Act”), in reliance on the exemptions provided by Section 4(a)(2) of the Securities Act as a transaction not involving a public offering and in reliance on similar exemptions under applicable state laws. Any ordinary shares of the Company issuable upon conversion of the April 2026 Debenture will be issued without registration under the Securities Act in reliance on applicable exemptions therefrom.</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foregoing description of the April 2026 Debenture does not purport to be complete and is qualified in its entirety by reference to the full text of the April 2026 Debenture, which is attached to this Quarterly Report as Exhibit 10.11 and is incorporated herein by reference.</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the funding under the April 2026 Debenture occurred after March 31, 2026, the additional tranche is not reflected in the Company’s condensed consolidated balance sheet, notes payable balance, fair value measurement or notes payable rollforward as of and for the three months ended March 31, 2026. See Note 16 (Subsequent Events) to the unaudited condensed consolidated financial statements included in Part I, Item 1 of this Quarterly Report for additional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did not generate revenue from continuing operations during the three months ended March 31, 2026 or March 31, 2025. Revenue generated by the legacy solar operations conducted through the Subsidiary has been presented within discontinued operations for all periods presented.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 Treasury Loss, Net</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Digital asset treasury income (loss), net consists of (i) realized and unrealized fair-value changes on Bitcoin holdings, (ii) realized gains or losses on settlement, expiration or close-out of written covered Bitcoin call options accounted for as freestanding derivative liabilities, and (iii) fair-value changes on open written covered Bitcoin call option positions. Premiums received on written covered call options are consideration for assuming a derivative obligation and are not recorded as revenue from contracts with customers. See Note 5 (Digital Assets) and Note 6 (Written Covered Bitcoin Call Options) to the unaudited condensed consolidated financial statements included in Part I, Item 1 of this Quarterly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General and administrative expenses include professional fees (including legal, audit, accounting and financing- and transaction-related fees), public-company and SEC reporting costs, insurance, office and rent expense, software and subscriptions and other holding-company overhead.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Change in Fair Value of Convertible Notes Payable Carried at Fair Value</w:t>
      </w:r>
    </w:p>
    <w:p>
      <w:pPr>
        <w:spacing w:after="0" w:line="2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Gain on change in fair value of convertible notes payable carried at fair value represents period-to-period fair-value remeasurements of certain predecessor convertible notes that were accounted for under the fair-value election. The fair-value election is not applicable to the convertible debentures issued during the three months ended March 31, 2026, which are accounted for using the debt-host plus embedded-derivative model. Accordingly, this line item is not expected to recur in respect of the convertible debentures issued during the three months ended March 31, 2026. See Note 8 (Convertible Notes, Embedded Derivatives and Pre-Funded Warrants) to the unaudited condensed consolidated financial statements included in Part I, Item 1 of this Quarterly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Change in Fair Value of Embedded Derivative Liabilities</w:t>
      </w:r>
    </w:p>
    <w:p>
      <w:pPr>
        <w:spacing w:after="0" w:line="221" w:lineRule="exact"/>
        <w:rPr>
          <w:sz w:val="20"/>
          <w:szCs w:val="20"/>
          <w:color w:val="auto"/>
        </w:rPr>
      </w:pPr>
    </w:p>
    <w:p>
      <w:pPr>
        <w:ind w:right="80"/>
        <w:spacing w:after="0" w:line="304" w:lineRule="auto"/>
        <w:rPr>
          <w:sz w:val="20"/>
          <w:szCs w:val="20"/>
          <w:color w:val="auto"/>
        </w:rPr>
      </w:pPr>
      <w:r>
        <w:rPr>
          <w:rFonts w:ascii="Times New Roman" w:cs="Times New Roman" w:eastAsia="Times New Roman" w:hAnsi="Times New Roman"/>
          <w:sz w:val="17"/>
          <w:szCs w:val="17"/>
          <w:color w:val="auto"/>
        </w:rPr>
        <w:t>Gain on change in fair value of embedded derivative liabilities represents period-to-period fair-value remeasurements of the embedded conversion derivative liabilities bifurcated from the convertible debentures issued during the three months ended March 31, 2026, with changes in fair value recognized in earnings.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Including Amortization of Debt Discount</w:t>
      </w:r>
    </w:p>
    <w:p>
      <w:pPr>
        <w:spacing w:after="0" w:line="221" w:lineRule="exact"/>
        <w:rPr>
          <w:sz w:val="20"/>
          <w:szCs w:val="20"/>
          <w:color w:val="auto"/>
        </w:rPr>
      </w:pPr>
    </w:p>
    <w:p>
      <w:pPr>
        <w:ind w:right="840"/>
        <w:spacing w:after="0" w:line="274" w:lineRule="auto"/>
        <w:rPr>
          <w:sz w:val="20"/>
          <w:szCs w:val="20"/>
          <w:color w:val="auto"/>
        </w:rPr>
      </w:pPr>
      <w:r>
        <w:rPr>
          <w:rFonts w:ascii="Times New Roman" w:cs="Times New Roman" w:eastAsia="Times New Roman" w:hAnsi="Times New Roman"/>
          <w:sz w:val="18"/>
          <w:szCs w:val="18"/>
          <w:color w:val="auto"/>
        </w:rPr>
        <w:t>Interest expense, including amortization of debt discount consists of contractual coupon interest accrued on outstanding convertible debentures and amortization of the related debt discount over the term of the instruments.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Loss, Net</w:t>
      </w:r>
    </w:p>
    <w:p>
      <w:pPr>
        <w:spacing w:after="0" w:line="221"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Foreign currency gain (loss), net consists of realized and unrealized gains and losses arising on monetary balances denominated in currencies other than the relevant entity’s functional currency.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Discontinued Operations, Net of Tax</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Loss from discontinued operations, net of tax represents the results of operations of the Subsidiary, which has been presented as a discontinued operation for all periods presented in connection with our decision to terminate funding to, and exit the legacy solar operations conducted through, the Subsidiary. See Note 4 (Discontinued Operations and Assets and Liabilities Held for Sale) and Note 16 (Subsequent Events) to the unaudited condensed consolidated financial statements included in Part I, Item 1 of this Quarterly Report.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4"/>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periods indicated:</w:t>
            </w: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3"/>
        </w:trPr>
        <w:tc>
          <w:tcPr>
            <w:tcW w:w="6320" w:type="dxa"/>
            <w:vAlign w:val="bottom"/>
          </w:tcPr>
          <w:p>
            <w:pPr>
              <w:spacing w:after="0"/>
              <w:rPr>
                <w:sz w:val="24"/>
                <w:szCs w:val="24"/>
                <w:color w:val="auto"/>
              </w:rPr>
            </w:pPr>
          </w:p>
        </w:tc>
        <w:tc>
          <w:tcPr>
            <w:tcW w:w="2640" w:type="dxa"/>
            <w:vAlign w:val="bottom"/>
            <w:gridSpan w:val="2"/>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2"/>
        </w:trPr>
        <w:tc>
          <w:tcPr>
            <w:tcW w:w="63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205"/>
        </w:trPr>
        <w:tc>
          <w:tcPr>
            <w:tcW w:w="6320" w:type="dxa"/>
            <w:vAlign w:val="bottom"/>
          </w:tcPr>
          <w:p>
            <w:pPr>
              <w:spacing w:after="0"/>
              <w:rPr>
                <w:sz w:val="17"/>
                <w:szCs w:val="17"/>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2026</w:t>
            </w:r>
          </w:p>
        </w:tc>
        <w:tc>
          <w:tcPr>
            <w:tcW w:w="17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bottom w:val="single" w:sz="8" w:color="auto"/>
            </w:tcBorders>
          </w:tcPr>
          <w:p>
            <w:pPr>
              <w:jc w:val="right"/>
              <w:ind w:right="452"/>
              <w:spacing w:after="0" w:line="205" w:lineRule="exact"/>
              <w:rPr>
                <w:sz w:val="20"/>
                <w:szCs w:val="20"/>
                <w:color w:val="auto"/>
              </w:rPr>
            </w:pPr>
            <w:r>
              <w:rPr>
                <w:rFonts w:ascii="Times New Roman" w:cs="Times New Roman" w:eastAsia="Times New Roman" w:hAnsi="Times New Roman"/>
                <w:sz w:val="18"/>
                <w:szCs w:val="18"/>
                <w:b w:val="1"/>
                <w:bCs w:val="1"/>
                <w:color w:val="auto"/>
              </w:rPr>
              <w:t>Change</w:t>
            </w:r>
          </w:p>
        </w:tc>
      </w:tr>
      <w:tr>
        <w:trPr>
          <w:trHeight w:val="205"/>
        </w:trPr>
        <w:tc>
          <w:tcPr>
            <w:tcW w:w="6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00" w:type="dxa"/>
            <w:vAlign w:val="bottom"/>
          </w:tcPr>
          <w:p>
            <w:pPr>
              <w:jc w:val="center"/>
              <w:ind w:right="332"/>
              <w:spacing w:after="0" w:line="205" w:lineRule="exact"/>
              <w:rPr>
                <w:sz w:val="20"/>
                <w:szCs w:val="20"/>
                <w:color w:val="auto"/>
              </w:rPr>
            </w:pPr>
            <w:r>
              <w:rPr>
                <w:rFonts w:ascii="Times New Roman" w:cs="Times New Roman" w:eastAsia="Times New Roman" w:hAnsi="Times New Roman"/>
                <w:sz w:val="18"/>
                <w:szCs w:val="18"/>
                <w:b w:val="1"/>
                <w:bCs w:val="1"/>
                <w:color w:val="auto"/>
                <w:w w:val="97"/>
              </w:rPr>
              <w:t>(in $ thousands)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2"/>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2"/>
        </w:trPr>
        <w:tc>
          <w:tcPr>
            <w:tcW w:w="7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170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Digital asset treasury loss, net</w:t>
            </w:r>
          </w:p>
        </w:tc>
        <w:tc>
          <w:tcPr>
            <w:tcW w:w="170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(313)</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12"/>
        </w:trPr>
        <w:tc>
          <w:tcPr>
            <w:tcW w:w="7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0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(1,167)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2"/>
        </w:trPr>
        <w:tc>
          <w:tcPr>
            <w:tcW w:w="7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170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b w:val="1"/>
                <w:bCs w:val="1"/>
                <w:color w:val="auto"/>
              </w:rPr>
              <w:t>(1,480)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w:t>
            </w:r>
          </w:p>
        </w:tc>
      </w:tr>
      <w:tr>
        <w:trPr>
          <w:trHeight w:val="212"/>
        </w:trPr>
        <w:tc>
          <w:tcPr>
            <w:tcW w:w="7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 on change in fair value of convertible notes payable carried at fair value</w:t>
            </w:r>
          </w:p>
        </w:tc>
        <w:tc>
          <w:tcPr>
            <w:tcW w:w="170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10,331</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(10,331)</w:t>
            </w:r>
          </w:p>
        </w:tc>
      </w:tr>
      <w:tr>
        <w:trPr>
          <w:trHeight w:val="212"/>
        </w:trPr>
        <w:tc>
          <w:tcPr>
            <w:tcW w:w="7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change in fair value of embedded derivative liabilities</w:t>
            </w:r>
          </w:p>
        </w:tc>
        <w:tc>
          <w:tcPr>
            <w:tcW w:w="170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rPr>
              <w:t>591</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591</w:t>
            </w:r>
          </w:p>
        </w:tc>
      </w:tr>
      <w:tr>
        <w:trPr>
          <w:trHeight w:val="212"/>
        </w:trPr>
        <w:tc>
          <w:tcPr>
            <w:tcW w:w="7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170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(113)</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2"/>
        </w:trPr>
        <w:tc>
          <w:tcPr>
            <w:tcW w:w="7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loss, net</w:t>
            </w:r>
          </w:p>
        </w:tc>
        <w:tc>
          <w:tcPr>
            <w:tcW w:w="170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12"/>
        </w:trPr>
        <w:tc>
          <w:tcPr>
            <w:tcW w:w="7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1700" w:type="dxa"/>
            <w:vAlign w:val="bottom"/>
          </w:tcPr>
          <w:p>
            <w:pPr>
              <w:jc w:val="right"/>
              <w:ind w:right="1092"/>
              <w:spacing w:after="0"/>
              <w:rPr>
                <w:sz w:val="20"/>
                <w:szCs w:val="20"/>
                <w:color w:val="auto"/>
              </w:rPr>
            </w:pPr>
            <w:r>
              <w:rPr>
                <w:rFonts w:ascii="Times New Roman" w:cs="Times New Roman" w:eastAsia="Times New Roman" w:hAnsi="Times New Roman"/>
                <w:sz w:val="18"/>
                <w:szCs w:val="18"/>
                <w:b w:val="1"/>
                <w:bCs w:val="1"/>
                <w:color w:val="auto"/>
              </w:rPr>
              <w:t>478</w:t>
            </w: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10,318</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(9,840)</w:t>
            </w:r>
          </w:p>
        </w:tc>
      </w:tr>
      <w:tr>
        <w:trPr>
          <w:trHeight w:val="212"/>
        </w:trPr>
        <w:tc>
          <w:tcPr>
            <w:tcW w:w="7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70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(1,002)</w:t>
            </w:r>
          </w:p>
        </w:tc>
        <w:tc>
          <w:tcPr>
            <w:tcW w:w="6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9,300</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w:t>
            </w:r>
          </w:p>
        </w:tc>
      </w:tr>
      <w:tr>
        <w:trPr>
          <w:trHeight w:val="212"/>
        </w:trPr>
        <w:tc>
          <w:tcPr>
            <w:tcW w:w="7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170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w:t>
            </w:r>
          </w:p>
        </w:tc>
        <w:tc>
          <w:tcPr>
            <w:tcW w:w="170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b w:val="1"/>
                <w:bCs w:val="1"/>
                <w:color w:val="auto"/>
              </w:rPr>
              <w:t>(1,002)</w:t>
            </w:r>
          </w:p>
        </w:tc>
        <w:tc>
          <w:tcPr>
            <w:tcW w:w="6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9,300</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(10,302)</w:t>
            </w:r>
          </w:p>
        </w:tc>
      </w:tr>
      <w:tr>
        <w:trPr>
          <w:trHeight w:val="212"/>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70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(1,013)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485</w:t>
            </w:r>
          </w:p>
        </w:tc>
      </w:tr>
      <w:tr>
        <w:trPr>
          <w:trHeight w:val="212"/>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70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b w:val="1"/>
                <w:bCs w:val="1"/>
                <w:color w:val="auto"/>
              </w:rPr>
              <w:t>(2,015)</w:t>
            </w:r>
          </w:p>
        </w:tc>
        <w:tc>
          <w:tcPr>
            <w:tcW w:w="6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7,802</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(9,817)</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 Treasury Loss, Net</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2026, digital asset treasury loss, net was $313 thousand, consisting principally of a $326 thousand unrealized fair-value remeasurement loss on Bitcoin holdings, partially offset by net written covered Bitcoin call option income of $14 thousand (consisting of $35 thousand of realized expiration or settlement gain less a $21 thousand unrealized loss on open written-call positions), and other digital asset treasury items. We did not hold digital assets and did not write covered Bitcoin call options during the three months ended March 31,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three months ended March 31, 2026, general and administrative expenses were $1,167 thousand, compared to $1,018 thousand for the three months ended March 31, 2025. The increase principally reflects higher professional fees associated with the adoption of the Treasury Strategy, the entry into the ISDA Master Agreement and related transaction documents, the execution of the convertible debenture and pre-funded warrant financings, and continuing public-company costs. General and administrative expenses related to the legacy solar operations have been presented within discontinued operations for all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Change in Fair Value of Convertible Notes Payable Carried at Fair Value</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three months ended March 31, 2025, we recognized a gain of $10,331 thousand on the fair-value remeasurement of convertible notes accounted for under the fair-value election. The fair-value election applied to the predecessor convertible debentures and is not applicable to the convertible debentures issued during the first quarter of 2026, which are accounted for using the debt-host plus embedded-derivative model. See Note 8 (Convertible Notes, Embedded Derivatives and Pre-Funded Warrants) to the unaudited condensed consolidated financial statements included in Part I, Item 1 of this Quarterly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Change in Fair Value of Embedded Derivative Liabilities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2026, we recognized a gain of $591 thousand on the change in the fair value of the embedded conversion derivative liabilities associated with the convertible debentures issued during the period. The embedded conversion features were bifurcated from the debt host and accounted for as derivative liabilities at fair value, with changes in fair value recognized in earnings. We did not have an embedded derivative liability during the three months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Including Amortization of Debt Discount</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2026, interest expense, including amortization of debt discount, was $113 thousand, consisting of $44 thousand of accrued coupon interest on the convertible debentures issued during the period and $69 thousand of debt discount amortization. There was no comparable interest expense recognized in continuing operations for the three months ended March 31, 2025, because the predecessor convertible notes were accounted for at fair value, with all changes in fair value recognized within the fair-value line item.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Loss, Net</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2026, we did not recognize a net foreign currency gain or loss. For the three months ended March 31, 2025, we recognized a net foreign currency loss of $13 thousand within continuing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Discontinued Operations, Net of Tax</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2026, loss from discontinued operations, net of tax was $1,013 thousand, compared to $1,498 thousand for the three months ended March 31, 2025. The decrease reflects the wind-down of operating activity at the Subsidiary following our March 14, 2026 decision to terminate funding to, and exit the legacy solar operations conducted through, the Subsidiary, partially offset by a $519 thousand loss on classification as held for sale recognized during the three months ended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2026, we reported a net loss of $2,015 thousand, compared to net income of $7,802 thousand for the three months ended March 31, 2025. The change is principally driven by the absence in 2026 of the prior-year fair-value gain on convertible notes accounted for under the fair-value election and the $519 thousand loss on classification as held for sale, partially offset by the 2026 gain on change in the fair value of the embedded conversion derivative liabilities and the lower operating loss from discontinued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March 31, 2026, our cash and cash equivalents were $237 thousand, compared to $243 thousand as of December 31, 2025. Cash consists of cash in bank accounts.</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currently generate revenue from continuing operations and we continue to incur operating expenses related to holding-company overhead and public-company compliance costs. Following the adoption of the Treasury Strategy and the cessation of funding to the Subsidiary in the first quarter of 2026, our liquidity position is principally dependent on the performance of our digital asset holdings and the cash flows generated through the Treasury Strategy, supplemented as necessary by external financing, including equity and equity-linked financings and debt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we have financed our operations through:</w:t>
      </w:r>
    </w:p>
    <w:p>
      <w:pPr>
        <w:spacing w:after="0" w:line="217" w:lineRule="exact"/>
        <w:rPr>
          <w:sz w:val="20"/>
          <w:szCs w:val="20"/>
          <w:color w:val="auto"/>
        </w:rPr>
      </w:pPr>
    </w:p>
    <w:p>
      <w:pPr>
        <w:ind w:left="640" w:hanging="316"/>
        <w:spacing w:after="0" w:line="274"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and equity-linked financings, including our initial public offering (“IPO”) in November 2021, a follow-on offering in May 2022 and a committed equity facility entered into in June 2022.</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17, 2021, the Company consummated its IPO of 10,000,000 ordinary shares at a price of $15.00 per share. In addition, the underwriters in our IPO exercised their greenshoe option to purchase an additional 1,500,000 ordinary shares at a price of $13.95 per share. In total, the Company raised $160 million (€142 million) through the IPO, after deducting underwriting discounts and commissions.</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successfully completed a follow-on offering on May 3, 2022 of 10,930,000 ordinary shares at a price of $4.00 per share, which amount included shares sold pursuant to the partial exercise of the underwriters’ over-allotment option. Pursuant to the offering, the Company received proceeds of $42 million (€39 million) after deducting underwriting discounts and commissions.</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74" w:lineRule="auto"/>
        <w:tabs>
          <w:tab w:leader="none" w:pos="9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13, 2022, the Company entered into an ordinary share purchase agreement with Joh. Berenberg, Gossler &amp; Co. KG (“Berenberg”), which governed a committed equity facility (the “CEF”) for the Company. The CEF provided the Company with the right, but not the obligation, to sell and issue up to $150 million of its ordinary shares over a period of 24 months to Berenberg, subject to certain limitations and conditions. During 2022, the Company sold to Berenberg a total of 8,748,433 ordinary shares for total gross proceeds of $17 million (€17 million).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27" w:name="page28"/>
    <w:bookmarkEnd w:id="27"/>
    <w:p>
      <w:pPr>
        <w:ind w:left="320" w:hanging="316"/>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debentures issued to Yorkville pursuant to the securities purchase agreement in December 2022 and subsequent issuances in 2024 and 2025.</w:t>
      </w:r>
    </w:p>
    <w:p>
      <w:pPr>
        <w:spacing w:after="0" w:line="243" w:lineRule="exact"/>
        <w:rPr>
          <w:rFonts w:ascii="Times New Roman" w:cs="Times New Roman" w:eastAsia="Times New Roman" w:hAnsi="Times New Roman"/>
          <w:sz w:val="18"/>
          <w:szCs w:val="18"/>
          <w:color w:val="auto"/>
        </w:rPr>
      </w:pPr>
    </w:p>
    <w:p>
      <w:pPr>
        <w:jc w:val="both"/>
        <w:ind w:left="640" w:hanging="318"/>
        <w:spacing w:after="0" w:line="259" w:lineRule="auto"/>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7, 2022, the Company entered into a securities purchase agreement with Yorkville under which the Company agreed to sell and issue to Yorkville the convertible debentures in a gross aggregate principal amount of up to $31.1 million (€29.4 million) (the “2022 Debentures”).</w:t>
      </w:r>
    </w:p>
    <w:p>
      <w:pPr>
        <w:spacing w:after="0" w:line="177" w:lineRule="exact"/>
        <w:rPr>
          <w:rFonts w:ascii="Times New Roman" w:cs="Times New Roman" w:eastAsia="Times New Roman" w:hAnsi="Times New Roman"/>
          <w:sz w:val="18"/>
          <w:szCs w:val="18"/>
          <w:color w:val="auto"/>
        </w:rPr>
      </w:pPr>
    </w:p>
    <w:p>
      <w:pPr>
        <w:jc w:val="both"/>
        <w:ind w:left="640" w:hanging="318"/>
        <w:spacing w:after="0" w:line="249" w:lineRule="auto"/>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mid-November 2023, in the context of the former Self-Administration Proceedings, the Company and Yorkville entered into certain investment-related agreements that became effective on November 20, 2023 (such agreements collectively, the “Yorkville Investment Agreements”), pursuant to which Yorkville committed to provide financing to the Company, subject to the Company’s continued compliance with the terms of the Yorkville Investment Agreements. Among other Yorkville Investment Agreements, the Company and Yorkville entered into a restructuring agreement (as amended from time to time, the “Restructuring Agreement”) and a funding commitment letter (as amended from time to time, the “Funding Commitment Letter”), pursuant to which Yorkville committed to provide limited financing to the Company (the “First Commitment”). On April 30, 2024, the Company and Yorkville entered into an amendment to the Funding Commitment Letter, pursuant to which Yorkville committed additional financing to the Company (the “Second Commitment” and together with the First Commitment, the “Yorkville Restructuring Investment”).</w:t>
      </w:r>
    </w:p>
    <w:p>
      <w:pPr>
        <w:spacing w:after="0" w:line="187" w:lineRule="exact"/>
        <w:rPr>
          <w:rFonts w:ascii="Times New Roman" w:cs="Times New Roman" w:eastAsia="Times New Roman" w:hAnsi="Times New Roman"/>
          <w:sz w:val="18"/>
          <w:szCs w:val="18"/>
          <w:color w:val="auto"/>
        </w:rPr>
      </w:pPr>
    </w:p>
    <w:p>
      <w:pPr>
        <w:jc w:val="both"/>
        <w:ind w:left="640" w:hanging="318"/>
        <w:spacing w:after="0" w:line="259" w:lineRule="auto"/>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debenture with respect to the first tranche of the Yorkville Restructuring Investment was issued to Yorkville on February 6, 2024 for approximately $4.3 million and the convertible debenture with respect to the second tranche was issued to Yorkville on August 30, 2024 for approximately $3.3 million.</w:t>
      </w:r>
    </w:p>
    <w:p>
      <w:pPr>
        <w:spacing w:after="0" w:line="177" w:lineRule="exact"/>
        <w:rPr>
          <w:rFonts w:ascii="Times New Roman" w:cs="Times New Roman" w:eastAsia="Times New Roman" w:hAnsi="Times New Roman"/>
          <w:sz w:val="18"/>
          <w:szCs w:val="18"/>
          <w:color w:val="auto"/>
        </w:rPr>
      </w:pPr>
    </w:p>
    <w:p>
      <w:pPr>
        <w:jc w:val="both"/>
        <w:ind w:left="640" w:hanging="318"/>
        <w:spacing w:after="0" w:line="259" w:lineRule="auto"/>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30, 2024, the Company and Yorkville entered into a securities purchase agreement (the “Securities Purchase Agreement”), pursuant to which the Company agreed to sell and issue to Yorkville a new convertible debenture (the “New Commitment Debenture”) in the aggregate principal amount of $5 million.</w:t>
      </w:r>
    </w:p>
    <w:p>
      <w:pPr>
        <w:spacing w:after="0" w:line="177" w:lineRule="exact"/>
        <w:rPr>
          <w:rFonts w:ascii="Times New Roman" w:cs="Times New Roman" w:eastAsia="Times New Roman" w:hAnsi="Times New Roman"/>
          <w:sz w:val="18"/>
          <w:szCs w:val="18"/>
          <w:color w:val="auto"/>
        </w:rPr>
      </w:pPr>
    </w:p>
    <w:p>
      <w:pPr>
        <w:jc w:val="both"/>
        <w:ind w:left="640" w:hanging="318"/>
        <w:spacing w:after="0" w:line="252" w:lineRule="auto"/>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30, 2024, the Company and Yorkville also entered into an exchange agreement (the “Exchange Agreement” and together with the SPA “Transaction Documents”), pursuant to which the Company agreed to issue, subject to the satisfaction of certain closing conditions, 1,242 preferred shares to Yorkville solely in exchange for the surrender and cancellation of all of the debentures held by Yorkville, which at that time included the 2022 Debentures, the new convertible debentures issued to Yorkville on February 5, 2024 and August 30, 2024 (the “2024 Debentures”) and the New Commitment Debenture (if issued).</w:t>
      </w:r>
    </w:p>
    <w:p>
      <w:pPr>
        <w:spacing w:after="0" w:line="211" w:lineRule="exact"/>
        <w:rPr>
          <w:rFonts w:ascii="Times New Roman" w:cs="Times New Roman" w:eastAsia="Times New Roman" w:hAnsi="Times New Roman"/>
          <w:sz w:val="18"/>
          <w:szCs w:val="18"/>
          <w:color w:val="auto"/>
        </w:rPr>
      </w:pPr>
    </w:p>
    <w:p>
      <w:pPr>
        <w:jc w:val="both"/>
        <w:ind w:left="640" w:hanging="318"/>
        <w:spacing w:after="0" w:line="259" w:lineRule="auto"/>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12, 2025, the Company and Yorkville entered into an Omnibus Amendment to Transaction Documents (the “First Omnibus Amendment”), pursuant to which the parties agreed to modify the terms of the Securities Purchase Agreement to, among other things, provide for an immediate advance of $1,000,000 of the Yorkville Commitment in the form of the First Debenture.</w:t>
      </w:r>
    </w:p>
    <w:p>
      <w:pPr>
        <w:spacing w:after="0" w:line="177" w:lineRule="exact"/>
        <w:rPr>
          <w:rFonts w:ascii="Times New Roman" w:cs="Times New Roman" w:eastAsia="Times New Roman" w:hAnsi="Times New Roman"/>
          <w:sz w:val="18"/>
          <w:szCs w:val="18"/>
          <w:color w:val="auto"/>
        </w:rPr>
      </w:pPr>
    </w:p>
    <w:p>
      <w:pPr>
        <w:jc w:val="both"/>
        <w:ind w:left="640" w:hanging="318"/>
        <w:spacing w:after="0" w:line="259" w:lineRule="auto"/>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25, 2025, the Company and Yorkville entered into a third Omnibus Amendment to Transaction Documents (the “Third Omnibus Amendment”), pursuant to which the parties agreed to modify the terms of the Securities Purchase Agreement to, among other things, provide for an immediate advance of $1 million of the Yorkville Commitment in the form of the Second Debenture.</w:t>
      </w:r>
    </w:p>
    <w:p>
      <w:pPr>
        <w:spacing w:after="0" w:line="177" w:lineRule="exact"/>
        <w:rPr>
          <w:rFonts w:ascii="Times New Roman" w:cs="Times New Roman" w:eastAsia="Times New Roman" w:hAnsi="Times New Roman"/>
          <w:sz w:val="18"/>
          <w:szCs w:val="18"/>
          <w:color w:val="auto"/>
        </w:rPr>
      </w:pPr>
    </w:p>
    <w:p>
      <w:pPr>
        <w:jc w:val="both"/>
        <w:ind w:left="640" w:hanging="318"/>
        <w:spacing w:after="0" w:line="259" w:lineRule="auto"/>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24, 2025, the Company and Yorkville entered into a fourth Omnibus Amendment to Transaction Documents (the “Fourth Omnibus Amendment”), pursuant to which the parties agreed to modify the terms of the Securities Purchase Agreement to, among other things, provide for an immediate advance by Yorkville to the Company of $500,000 in the form of the Third Debenture.</w:t>
      </w:r>
    </w:p>
    <w:p>
      <w:pPr>
        <w:spacing w:after="0" w:line="204" w:lineRule="exact"/>
        <w:rPr>
          <w:rFonts w:ascii="Times New Roman" w:cs="Times New Roman" w:eastAsia="Times New Roman" w:hAnsi="Times New Roman"/>
          <w:sz w:val="18"/>
          <w:szCs w:val="18"/>
          <w:color w:val="auto"/>
        </w:rPr>
      </w:pPr>
    </w:p>
    <w:p>
      <w:pPr>
        <w:ind w:left="640" w:right="240" w:hanging="318"/>
        <w:spacing w:after="0" w:line="259" w:lineRule="auto"/>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26, 2025, the Company and Yorkville entered into a fifth Omnibus Amendment to Transaction Documents (the “Fifth Omnibus Amendment”), pursuant to which the parties agreed to modify the terms of the Securities Purchase Agreement to, among other things, provide for an immediate advance by Yorkville to the Company of $750,000 in the form of the Fourth Debenture.</w:t>
      </w:r>
    </w:p>
    <w:p>
      <w:pPr>
        <w:spacing w:after="0" w:line="204" w:lineRule="exact"/>
        <w:rPr>
          <w:rFonts w:ascii="Times New Roman" w:cs="Times New Roman" w:eastAsia="Times New Roman" w:hAnsi="Times New Roman"/>
          <w:sz w:val="18"/>
          <w:szCs w:val="18"/>
          <w:color w:val="auto"/>
        </w:rPr>
      </w:pPr>
    </w:p>
    <w:p>
      <w:pPr>
        <w:jc w:val="both"/>
        <w:ind w:left="640" w:right="200" w:hanging="318"/>
        <w:spacing w:after="0" w:line="259" w:lineRule="auto"/>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6, 2025, the Company and Yorkville entered into an eighth Omnibus Amendment to Transaction Documents (the “Eighth Omnibus Amendment”), pursuant to which the parties agreed to modify the terms of the Securities Purchase Agreement to, among other things, provide for an immediate advance by Yorkville to the Company of $190,000 in the form of the Fifth Debenture.</w:t>
      </w:r>
    </w:p>
    <w:p>
      <w:pPr>
        <w:spacing w:after="0" w:line="204" w:lineRule="exact"/>
        <w:rPr>
          <w:rFonts w:ascii="Times New Roman" w:cs="Times New Roman" w:eastAsia="Times New Roman" w:hAnsi="Times New Roman"/>
          <w:sz w:val="18"/>
          <w:szCs w:val="18"/>
          <w:color w:val="auto"/>
        </w:rPr>
      </w:pPr>
    </w:p>
    <w:p>
      <w:pPr>
        <w:jc w:val="both"/>
        <w:ind w:left="640" w:hanging="318"/>
        <w:spacing w:after="0" w:line="255" w:lineRule="auto"/>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15, 2025, the Company and Yorkville entered into a ninth Omnibus Amendment to Transaction Documents (the “Ninth Omnibus Amendment”), pursuant to which the parties agreed to modify the terms of the Securities Purchase Agreement to, among other things, provide for an immediate advance by Yorkville to the Company of EUR300,000 ($350,540 at conversion rate of 1.1685) in the form of the Sixth Debenture.</w:t>
      </w:r>
    </w:p>
    <w:p>
      <w:pPr>
        <w:spacing w:after="0" w:line="1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81915</wp:posOffset>
            </wp:positionV>
            <wp:extent cx="713486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20"/>
          </w:cols>
          <w:pgMar w:left="640" w:top="572" w:right="339" w:bottom="1440" w:gutter="0" w:footer="0" w:header="0"/>
        </w:sectPr>
      </w:pPr>
    </w:p>
    <w:bookmarkStart w:id="28" w:name="page29"/>
    <w:bookmarkEnd w:id="28"/>
    <w:p>
      <w:pPr>
        <w:jc w:val="both"/>
        <w:ind w:left="960" w:hanging="318"/>
        <w:spacing w:after="0" w:line="252" w:lineRule="auto"/>
        <w:tabs>
          <w:tab w:leader="none" w:pos="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5, 2025, the Company and Yorkville entered into a tenth Omnibus Amendment to Transaction Documents (the “Tenth Omnibus Amendment”), pursuant to which the parties agreed to modify the terms of the Securities Purchase Agreement to, among other things, (1) increase the aggregate principal amount of the Debenture by an additional $2,200,000 for a total of $7,200,000, and (2) provide for an immediate advance by Yorkville to the Company of $3,409,460, which comprises the remaining $1,209,460 of the original $5,000,000 commitment and the entirety of the additional $2,200,000 commitment, in the form of the Seventh Debenture.</w:t>
      </w:r>
    </w:p>
    <w:p>
      <w:pPr>
        <w:spacing w:after="0" w:line="185"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26, 2026, the Company issued the Debenture SEV-8 to Yorkville in the aggregate principal amount of $600,000.</w:t>
      </w:r>
    </w:p>
    <w:p>
      <w:pPr>
        <w:spacing w:after="0" w:line="24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19, 2026, the Company issued the Debenture SEV-9 to Yorkville in the aggregate principal amount of $750,000.</w:t>
      </w:r>
    </w:p>
    <w:p>
      <w:pPr>
        <w:spacing w:after="0" w:line="243" w:lineRule="exact"/>
        <w:rPr>
          <w:rFonts w:ascii="Times New Roman" w:cs="Times New Roman" w:eastAsia="Times New Roman" w:hAnsi="Times New Roman"/>
          <w:sz w:val="18"/>
          <w:szCs w:val="18"/>
          <w:color w:val="auto"/>
        </w:rPr>
      </w:pPr>
    </w:p>
    <w:p>
      <w:pPr>
        <w:ind w:left="960" w:right="300" w:hanging="318"/>
        <w:spacing w:after="0" w:line="274" w:lineRule="auto"/>
        <w:tabs>
          <w:tab w:leader="none" w:pos="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10, 2026, the Company issued a pre-funded warrant to Yorkville to purchase up to 283,367 Ordinary Shares at an exercise price of €0.01 per share, for aggregate gross proceeds of approximately $2,000,004.29.</w:t>
      </w:r>
    </w:p>
    <w:p>
      <w:pPr>
        <w:spacing w:after="0" w:line="163" w:lineRule="exact"/>
        <w:rPr>
          <w:rFonts w:ascii="Times New Roman" w:cs="Times New Roman" w:eastAsia="Times New Roman" w:hAnsi="Times New Roman"/>
          <w:sz w:val="18"/>
          <w:szCs w:val="18"/>
          <w:color w:val="auto"/>
        </w:rPr>
      </w:pPr>
    </w:p>
    <w:p>
      <w:pPr>
        <w:ind w:left="960" w:right="400" w:hanging="318"/>
        <w:spacing w:after="0" w:line="274" w:lineRule="auto"/>
        <w:tabs>
          <w:tab w:leader="none" w:pos="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10, 2026, the Company issued a convertible debenture to Yorkville in the aggregate principal amount of $3,000,000, maturing on March 10, 2027 (“Debenture SEV-10”).</w:t>
      </w:r>
    </w:p>
    <w:p>
      <w:pPr>
        <w:spacing w:after="0" w:line="163"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grant funding from government and public research institutions, supporting the development of our proprietary solar technology, which has been classified within discontinued operations.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revenues from sale of prototypes, our solar products and services, which have been classified within discontinued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outflows during the three months ended March 31, 2026 were principally driven by:</w:t>
      </w:r>
    </w:p>
    <w:p>
      <w:pPr>
        <w:spacing w:after="0" w:line="217"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primarily professional fees, public-company and SEC reporting costs and other holding-company overhead.</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Bitcoin in connection with the Treasury Strategy.</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used in the operations of the Subsidiary, which have been classified within discontinued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Outlook and Ability to Continue as a Going Concern</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incurred recurring operating losses and historically negative cash flows from operations since inception, primarily attributable to the operations of the Subsidiary, which has been classified as a discontinued operation for all periods presented and, subsequent to March 31, 2026, on May 4, 2026, the Company sold and transferred 100% of the outstanding share capital of the Subsidiary to third-party purchasers. For the three months ended March 31, 2026, the Company recorded a loss from continuing operations of $1,480 thousand and a net loss of $2,015 thousand, and as of March 31, 2026 had cash and cash equivalents of $237 thousand and an accumulated deficit of $335.4 million. These conditions raise substantial doubt about the Company’s ability to continue as a going concern.</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During the three months ended March 31, 2026, management completed financing transactions and strategic actions related to the Company’s transition to the Treasury Strategy and its exit from legacy solar operations. These actions, which are more fully described under “Sources and Uses of Liquidity” above and in Note 3 (Liquidity and Going Concern Analysis), Note 4 (Discontinued Operations and Assets and Liabilities Held for Sale), Note 8 (Convertible Notes, Embedded Derivatives and Pre-Funded Warrants) and Note 16 (Subsequent Events) to the unaudited condensed consolidated financial statements included in Part I, Item 1 of this Quarterly Report, included: (i) raising aggregate gross proceeds of approximately $6.4 million through the issuance of the Q1 2026 Debentures to Yorkville on January 26, 2026, February 19, 2026 and March 10, 2026, respectively, in the aggregate principal amount of $4.35 million and the issuance to Yorkville on March 10, 2026 of a pre-funded warrant for aggregate proceeds of $2.0 million; (ii) using a substantial portion of the proceeds to implement the Treasury Strategy, including the acquisition of Bitcoin and entry into an institutional framework with Blockchain.com in the form of the ISDA Master Agreement and the related Schedule and Credit Support Annex; and (iii) terminating all current and future funding commitments to the Subsidiary and initiating the Company’s exit from the legacy solar operations conducted through the Subsidiary, which is expected to materially reduce the Company’s ongoing cash outflows. In addition, as further described under “Recent Developments” above, subsequent to March 31, 2026, the Company completed its exit from the legacy solar operations through the execution and consummation of the SPA pursuant to which the Subsidiary was sold on May 4, 2026, and received from Yorkville an additional tranche of funding in the amount of $700 thousand in the form of a convertible debenture. These actions are relevant to management’s liquidity plans and operating strategy, but they did not alleviate substantial doubt about the Company’s ability to continue as a going concern.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29" w:name="page30"/>
    <w:bookmarkEnd w:id="29"/>
    <w:p>
      <w:pPr>
        <w:jc w:val="both"/>
        <w:spacing w:after="0" w:line="269" w:lineRule="auto"/>
        <w:rPr>
          <w:sz w:val="20"/>
          <w:szCs w:val="20"/>
          <w:color w:val="auto"/>
        </w:rPr>
      </w:pPr>
      <w:r>
        <w:rPr>
          <w:rFonts w:ascii="Times New Roman" w:cs="Times New Roman" w:eastAsia="Times New Roman" w:hAnsi="Times New Roman"/>
          <w:sz w:val="17"/>
          <w:szCs w:val="17"/>
          <w:color w:val="auto"/>
        </w:rPr>
        <w:t>The Company’s ability to maintain adequate liquidity remains subject to significant uncertainties, including, among other things, the price volatility and liquidity characteristics of digital assets, the terms and potential collateral requirements of transactions entered into in connection with the Treasury Strategy pursuant to the Credit Support Annex, the residual obligations of the Company under the Share Purchase and Transfer Agreement, including the pending transfer of the lease for the Munich premises by no later than June 30, 2026, sale-date deconsolidation effects not already reflected in the first-quarter held-for-sale impairment, and the maturities of the Q1 2026 Debentures in 2027, which may require us to negotiate a refinancing or conversion prior to or at maturity. Based upon this uncertainty, management has concluded that there is substantial doubt that the Company will continue as a going concern.</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See Note 3 (Liquidity and Going Concern Analysis) and Note 16 (Subsequent Events) to the unaudited condensed consolidated financial statements included in Part I, Item 1 of this Quarterly Report for additional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summarizes our cash flows (used in) from operating, investing and financing activities for the three months ended March 31, 2026 and 2025.</w:t>
      </w:r>
    </w:p>
    <w:p>
      <w:pPr>
        <w:spacing w:after="0" w:line="22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2026</w:t>
            </w:r>
          </w:p>
        </w:tc>
        <w:tc>
          <w:tcPr>
            <w:tcW w:w="1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52"/>
              <w:spacing w:after="0" w:line="205"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205"/>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w w:val="97"/>
              </w:rPr>
              <w:t>(in $ thousands)</w:t>
            </w:r>
          </w:p>
        </w:tc>
        <w:tc>
          <w:tcPr>
            <w:tcW w:w="1040" w:type="dxa"/>
            <w:vAlign w:val="bottom"/>
          </w:tcPr>
          <w:p>
            <w:pPr>
              <w:spacing w:after="0"/>
              <w:rPr>
                <w:sz w:val="17"/>
                <w:szCs w:val="17"/>
                <w:color w:val="auto"/>
              </w:rPr>
            </w:pPr>
          </w:p>
        </w:tc>
      </w:tr>
      <w:tr>
        <w:trPr>
          <w:trHeight w:val="212"/>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2"/>
        </w:trPr>
        <w:tc>
          <w:tcPr>
            <w:tcW w:w="8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(1,356)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r>
      <w:tr>
        <w:trPr>
          <w:trHeight w:val="212"/>
        </w:trPr>
        <w:tc>
          <w:tcPr>
            <w:tcW w:w="8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126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(5,000)</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126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6,350</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2,000</w:t>
            </w:r>
          </w:p>
        </w:tc>
      </w:tr>
      <w:tr>
        <w:trPr>
          <w:trHeight w:val="212"/>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exchange-rate changes and held-for-sale cash presentation on cash and cash equivalents</w:t>
            </w:r>
          </w:p>
        </w:tc>
        <w:tc>
          <w:tcPr>
            <w:tcW w:w="126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r>
      <w:tr>
        <w:trPr>
          <w:trHeight w:val="212"/>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6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243</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1,462</w:t>
            </w:r>
          </w:p>
        </w:tc>
      </w:tr>
      <w:tr>
        <w:trPr>
          <w:trHeight w:val="233"/>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260" w:type="dxa"/>
            <w:vAlign w:val="bottom"/>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237</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865</w:t>
            </w:r>
          </w:p>
        </w:tc>
      </w:tr>
      <w:tr>
        <w:trPr>
          <w:trHeight w:val="404"/>
        </w:trPr>
        <w:tc>
          <w:tcPr>
            <w:tcW w:w="8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26</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2"/>
        </w:trPr>
        <w:tc>
          <w:tcPr>
            <w:tcW w:w="80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 (used in) operating activities</w:t>
      </w:r>
    </w:p>
    <w:p>
      <w:pPr>
        <w:spacing w:after="0" w:line="2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Net cash used in operating activities was $1,356 thousand for the three months ended March 31, 2026, compared to net cash used in operating activities of $2,582 thousand for the three months ended March 31, 2025. The current period reflects a net loss of $2,015 thousand adjusted for noncash items, including the $1,264 thousand gain on change in fair value of embedded conversion derivative liabilities, the $519 thousand loss on classification as held for sale, $275 thousand of foreign currency and other noncash items, and $200 thousand of net changes in operating assets and liabilities, including discontinued operations. The prior-year period included the $10,331 thousand noncash gain on change in fair value of convertible notes payable carried at fair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Net cash used in investing activities was $5,000 thousand for the three months ended March 31, 2026, reflecting purchases of Bitcoin in connection with the Treasury Strategy. Investing activities provided no cash flows for the three months ended March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was $6,350 thousand for the three months ended March 31, 2026, resulting from gross proceeds of $4,350 thousand received in connection with the issuance of the Q1 2026 Debentures and gross proceeds of $2,000 thousand received in connection with the issuance of the Pre-Funded Warrant. Net cash provided by financing activities was $2,000 thousand for the three months ended March 31, 2025, resulting from gross proceeds of $2,000 thousand from the issuance of convertible debentures to Yorkville in February and March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from those disclosed in Part II, Item 8 of our 2025 Form 10-K, except for the addition of digital asset and derivative liability fair-value measurement and the change in reporting currency described in Note 2 (Basis of Presentation, Consolidation and Summary of Significant Accounting Policies) to the unaudited condensed consolidated financial statements included in Part I, Item 1 of this Quarterly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March 31, 2026, our management team, with the participation of our principal executive officer and principal financial officer, carried out an evaluation of the effectiveness of our disclosure controls and procedures (as defined in Rules 13a-15(e) and 15d-15(e) under the Exchange Act). Based on that evaluation, our principal executive officer and principal financial officer concluded that, due to the unremediated material weakness in our internal control over financial reporting as described below and in Part II, Item 9A. “Controls and Procedures” in our 2025 Form 10-K, our disclosure controls and procedures were not effective as of March 31,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previously identified material weaknesses described in Part II, Item 9A. “Controls and Procedures” in our 2025 Form 10-K relate to: (i) a lack of consistent and proper application of processes and procedures; (ii) the design and operating effectiveness of information technology general controls for information systems that are significant to the preparation of our consolidated financial statements; (iii) a lack of review and supervision; (iv) the sufficiency of resources with an appropriate level of technical accounting and SEC reporting experience; and (v) clearly defined control processes, roles and segregation of duties within our finance and accounting functions.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continuing to implement the remediation measures described in our 2025 Form 10-K, including the hiring of additional accounting staff, the appointment of a new chief financial officer with the requisite skills to address technical accounting and reporting issues, the engagement of third-party advisors to support our internal resources related to accounting and internal controls, ongoing internal training for our accounting and finance teams and continued investment in our finance information-technology systems. As of March 31, 2026, we are still in the process of remediating the previously identified material weaknesses. The change in reporting currency, the discontinued operations presentation, digital asset accounting, derivative valuation, convertible debt accounting and related SEC reporting requirements have increased the complexity of our control environment, and we are taking additional remediation steps to address these matters, including additional technical accounting review and additional support from third-party advisors.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three months ended March 31, 2026 that has materially affected or is reasonably likely to materially affect our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Disclosure Controls and Procedures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and management necessarily applies its judgment in evaluating the benefits of possible controls and procedures relative to their costs.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are, from time to time, party to various claims and legal proceedings arising in the ordinary course of our business. See Part I, Item 1 “Financial Statements (Unaudited) - Note 14, Commitments and Contingencies” in this Quarterly Report, which is incorporated herein by reference.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a smaller reporting company under Rule 12b-2 of the Exchange Act, we are not required to include risk factors in this Quarterly Report. For additional risks relating to our operations, see the section titled “Risk Factors” contained in our 2025 Form 10-K. Any of these factors could result in a significant or material adverse effect on our results of operations or financial condition. We may disclose changes to such risk factors or disclose additional risk factors from time to time in our future filings with the SEC.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9" w:lineRule="exact"/>
        <w:rPr>
          <w:sz w:val="20"/>
          <w:szCs w:val="20"/>
          <w:color w:val="auto"/>
        </w:rPr>
      </w:pPr>
    </w:p>
    <w:p>
      <w:pPr>
        <w:ind w:left="180" w:hanging="174"/>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4" w:lineRule="exact"/>
        <w:rPr>
          <w:rFonts w:ascii="Times New Roman" w:cs="Times New Roman" w:eastAsia="Times New Roman" w:hAnsi="Times New Roman"/>
          <w:sz w:val="18"/>
          <w:szCs w:val="18"/>
          <w:color w:val="auto"/>
        </w:rPr>
      </w:pPr>
    </w:p>
    <w:p>
      <w:pPr>
        <w:ind w:left="200" w:hanging="194"/>
        <w:spacing w:after="0"/>
        <w:tabs>
          <w:tab w:leader="none" w:pos="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5" w:lineRule="exact"/>
        <w:rPr>
          <w:rFonts w:ascii="Times New Roman" w:cs="Times New Roman" w:eastAsia="Times New Roman" w:hAnsi="Times New Roman"/>
          <w:sz w:val="18"/>
          <w:szCs w:val="18"/>
          <w:color w:val="auto"/>
        </w:rPr>
      </w:pPr>
    </w:p>
    <w:p>
      <w:pPr>
        <w:ind w:firstLine="6"/>
        <w:spacing w:after="0" w:line="251" w:lineRule="auto"/>
        <w:tabs>
          <w:tab w:leader="none" w:pos="1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none of our directors or officers adopted or terminated a “Rule 10b5-1 trading arrangement” or a “non-Rule 10b5-1 trading arrangement” (in each case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0" w:type="dxa"/>
            <w:vAlign w:val="bottom"/>
          </w:tcPr>
          <w:p>
            <w:pPr>
              <w:spacing w:after="0"/>
              <w:rPr>
                <w:sz w:val="18"/>
                <w:szCs w:val="18"/>
                <w:color w:val="auto"/>
              </w:rPr>
            </w:pPr>
          </w:p>
        </w:tc>
        <w:tc>
          <w:tcPr>
            <w:tcW w:w="8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Exhibit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0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22"/>
          </w:tcPr>
          <w:p>
            <w:pPr>
              <w:ind w:left="1080"/>
              <w:spacing w:after="0"/>
              <w:rPr>
                <w:sz w:val="20"/>
                <w:szCs w:val="20"/>
                <w:color w:val="auto"/>
              </w:rPr>
            </w:pPr>
            <w:r>
              <w:rPr>
                <w:rFonts w:ascii="Times New Roman" w:cs="Times New Roman" w:eastAsia="Times New Roman" w:hAnsi="Times New Roman"/>
                <w:sz w:val="18"/>
                <w:szCs w:val="18"/>
                <w:color w:val="auto"/>
              </w:rPr>
              <w:t>Description</w:t>
            </w:r>
          </w:p>
        </w:tc>
      </w:tr>
      <w:tr>
        <w:trPr>
          <w:trHeight w:val="378"/>
        </w:trPr>
        <w:tc>
          <w:tcPr>
            <w:tcW w:w="320" w:type="dxa"/>
            <w:vAlign w:val="bottom"/>
            <w:gridSpan w:val="2"/>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5"/>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Articles of Association of Sono Group N.V., as amended</w:t>
              </w:r>
            </w:hyperlink>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20" w:type="dxa"/>
            <w:vAlign w:val="bottom"/>
            <w:gridSpan w:val="25"/>
          </w:tcPr>
          <w:p>
            <w:pPr>
              <w:spacing w:after="0" w:line="192"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effective September 9, 2025 (Dutch and English translations)</w:t>
              </w:r>
            </w:hyperlink>
          </w:p>
        </w:tc>
      </w:tr>
      <w:tr>
        <w:trPr>
          <w:trHeight w:val="20"/>
        </w:trPr>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4"/>
        </w:trPr>
        <w:tc>
          <w:tcPr>
            <w:tcW w:w="320" w:type="dxa"/>
            <w:vAlign w:val="bottom"/>
            <w:gridSpan w:val="2"/>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5"/>
          </w:tcPr>
          <w:p>
            <w:pPr>
              <w:spacing w:after="0"/>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Form of internal rules of the Management Board of Sono Group</w:t>
              </w:r>
            </w:hyperlink>
          </w:p>
        </w:tc>
      </w:tr>
      <w:tr>
        <w:trPr>
          <w:trHeight w:val="192"/>
        </w:trPr>
        <w:tc>
          <w:tcPr>
            <w:tcW w:w="2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40" w:type="dxa"/>
            <w:vAlign w:val="bottom"/>
            <w:tcBorders>
              <w:top w:val="single" w:sz="8" w:color="0000EE"/>
            </w:tcBorders>
            <w:gridSpan w:val="24"/>
          </w:tcPr>
          <w:p>
            <w:pPr>
              <w:spacing w:after="0" w:line="192"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N.V.</w:t>
              </w:r>
            </w:hyperlink>
          </w:p>
        </w:tc>
        <w:tc>
          <w:tcPr>
            <w:tcW w:w="80" w:type="dxa"/>
            <w:vAlign w:val="bottom"/>
          </w:tcPr>
          <w:p>
            <w:pPr>
              <w:spacing w:after="0"/>
              <w:rPr>
                <w:sz w:val="16"/>
                <w:szCs w:val="16"/>
                <w:color w:val="auto"/>
              </w:rPr>
            </w:pPr>
          </w:p>
        </w:tc>
      </w:tr>
      <w:tr>
        <w:trPr>
          <w:trHeight w:val="20"/>
        </w:trPr>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4"/>
        </w:trPr>
        <w:tc>
          <w:tcPr>
            <w:tcW w:w="320" w:type="dxa"/>
            <w:vAlign w:val="bottom"/>
            <w:gridSpan w:val="2"/>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5"/>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Form of internal rules of the Supervisory Board of Sono Group</w:t>
              </w:r>
            </w:hyperlink>
          </w:p>
        </w:tc>
      </w:tr>
      <w:tr>
        <w:trPr>
          <w:trHeight w:val="192"/>
        </w:trPr>
        <w:tc>
          <w:tcPr>
            <w:tcW w:w="2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tcBorders>
              <w:top w:val="single" w:sz="8" w:color="0000EE"/>
            </w:tcBorders>
            <w:gridSpan w:val="21"/>
          </w:tcPr>
          <w:p>
            <w:pPr>
              <w:spacing w:after="0" w:line="192"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N.V.</w:t>
              </w:r>
            </w:hyperlink>
          </w:p>
        </w:tc>
        <w:tc>
          <w:tcPr>
            <w:tcW w:w="140" w:type="dxa"/>
            <w:vAlign w:val="bottom"/>
            <w:gridSpan w:val="4"/>
          </w:tcPr>
          <w:p>
            <w:pPr>
              <w:spacing w:after="0"/>
              <w:rPr>
                <w:sz w:val="16"/>
                <w:szCs w:val="16"/>
                <w:color w:val="auto"/>
              </w:rPr>
            </w:pPr>
          </w:p>
        </w:tc>
      </w:tr>
      <w:tr>
        <w:trPr>
          <w:trHeight w:val="20"/>
        </w:trPr>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4"/>
        </w:trPr>
        <w:tc>
          <w:tcPr>
            <w:tcW w:w="320" w:type="dxa"/>
            <w:vAlign w:val="bottom"/>
            <w:gridSpan w:val="2"/>
          </w:tcPr>
          <w:p>
            <w:pPr>
              <w:spacing w:after="0"/>
              <w:rPr>
                <w:rFonts w:ascii="Times New Roman" w:cs="Times New Roman" w:eastAsia="Times New Roman" w:hAnsi="Times New Roman"/>
                <w:sz w:val="18"/>
                <w:szCs w:val="18"/>
                <w:color w:val="0000EE"/>
                <w:w w:val="95"/>
              </w:rPr>
            </w:pPr>
            <w:hyperlink r:id="rId35">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5"/>
          </w:tcPr>
          <w:p>
            <w:pPr>
              <w:spacing w:after="0"/>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Convertible Debenture, dated January 26, 2026, by and between</w:t>
              </w:r>
            </w:hyperlink>
          </w:p>
        </w:tc>
      </w:tr>
      <w:tr>
        <w:trPr>
          <w:trHeight w:val="192"/>
        </w:trPr>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tcBorders>
              <w:top w:val="single" w:sz="8" w:color="0000EE"/>
              <w:bottom w:val="single" w:sz="8" w:color="0000EE"/>
            </w:tcBorders>
            <w:gridSpan w:val="6"/>
          </w:tcPr>
          <w:p>
            <w:pPr>
              <w:spacing w:after="0" w:line="192" w:lineRule="exact"/>
              <w:rPr>
                <w:rFonts w:ascii="Times New Roman" w:cs="Times New Roman" w:eastAsia="Times New Roman" w:hAnsi="Times New Roman"/>
                <w:sz w:val="18"/>
                <w:szCs w:val="18"/>
                <w:color w:val="0000EE"/>
                <w:w w:val="96"/>
              </w:rPr>
            </w:pPr>
            <w:hyperlink r:id="rId35">
              <w:r>
                <w:rPr>
                  <w:rFonts w:ascii="Times New Roman" w:cs="Times New Roman" w:eastAsia="Times New Roman" w:hAnsi="Times New Roman"/>
                  <w:sz w:val="18"/>
                  <w:szCs w:val="18"/>
                  <w:color w:val="0000EE"/>
                  <w:w w:val="96"/>
                </w:rPr>
                <w:t>Sono Group N.V. and YA II PN, Ltd.</w:t>
              </w:r>
            </w:hyperlink>
          </w:p>
        </w:tc>
        <w:tc>
          <w:tcPr>
            <w:tcW w:w="1920" w:type="dxa"/>
            <w:vAlign w:val="bottom"/>
            <w:tcBorders>
              <w:top w:val="single" w:sz="8" w:color="0000EE"/>
            </w:tcBorders>
            <w:gridSpan w:val="18"/>
          </w:tcPr>
          <w:p>
            <w:pPr>
              <w:spacing w:after="0"/>
              <w:rPr>
                <w:sz w:val="16"/>
                <w:szCs w:val="16"/>
                <w:color w:val="auto"/>
              </w:rPr>
            </w:pPr>
          </w:p>
        </w:tc>
        <w:tc>
          <w:tcPr>
            <w:tcW w:w="80" w:type="dxa"/>
            <w:vAlign w:val="bottom"/>
          </w:tcPr>
          <w:p>
            <w:pPr>
              <w:spacing w:after="0"/>
              <w:rPr>
                <w:sz w:val="16"/>
                <w:szCs w:val="16"/>
                <w:color w:val="auto"/>
              </w:rPr>
            </w:pPr>
          </w:p>
        </w:tc>
      </w:tr>
      <w:tr>
        <w:trPr>
          <w:trHeight w:val="404"/>
        </w:trPr>
        <w:tc>
          <w:tcPr>
            <w:tcW w:w="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r:id="rId36">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r:id="rId36">
              <w:r>
                <w:rPr>
                  <w:rFonts w:ascii="Times New Roman" w:cs="Times New Roman" w:eastAsia="Times New Roman" w:hAnsi="Times New Roman"/>
                  <w:sz w:val="18"/>
                  <w:szCs w:val="18"/>
                  <w:color w:val="0000EE"/>
                  <w:w w:val="97"/>
                </w:rPr>
                <w:t>Convertible Debenture, dated February 19, 2026, by and</w:t>
              </w:r>
            </w:hyperlink>
          </w:p>
        </w:tc>
        <w:tc>
          <w:tcPr>
            <w:tcW w:w="600" w:type="dxa"/>
            <w:vAlign w:val="bottom"/>
            <w:gridSpan w:val="15"/>
          </w:tcPr>
          <w:p>
            <w:pPr>
              <w:spacing w:after="0"/>
              <w:rPr>
                <w:sz w:val="24"/>
                <w:szCs w:val="24"/>
                <w:color w:val="auto"/>
              </w:rPr>
            </w:pPr>
          </w:p>
        </w:tc>
      </w:tr>
      <w:tr>
        <w:trPr>
          <w:trHeight w:val="192"/>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20" w:type="dxa"/>
            <w:vAlign w:val="bottom"/>
            <w:gridSpan w:val="25"/>
          </w:tcPr>
          <w:p>
            <w:pPr>
              <w:spacing w:after="0" w:line="192"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between Sono Group N.V. and YA II PN, Ltd.</w:t>
              </w:r>
            </w:hyperlink>
          </w:p>
        </w:tc>
      </w:tr>
      <w:tr>
        <w:trPr>
          <w:trHeight w:val="20"/>
        </w:trPr>
        <w:tc>
          <w:tcPr>
            <w:tcW w:w="4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4"/>
        </w:trPr>
        <w:tc>
          <w:tcPr>
            <w:tcW w:w="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r:id="rId37">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r:id="rId37">
              <w:r>
                <w:rPr>
                  <w:rFonts w:ascii="Times New Roman" w:cs="Times New Roman" w:eastAsia="Times New Roman" w:hAnsi="Times New Roman"/>
                  <w:sz w:val="18"/>
                  <w:szCs w:val="18"/>
                  <w:color w:val="0000EE"/>
                  <w:w w:val="97"/>
                </w:rPr>
                <w:t>Pre-Funded Warrant Securities Purchase Agreement, dated</w:t>
              </w:r>
            </w:hyperlink>
          </w:p>
        </w:tc>
        <w:tc>
          <w:tcPr>
            <w:tcW w:w="420" w:type="dxa"/>
            <w:vAlign w:val="bottom"/>
            <w:gridSpan w:val="13"/>
          </w:tcPr>
          <w:p>
            <w:pPr>
              <w:spacing w:after="0"/>
              <w:rPr>
                <w:sz w:val="24"/>
                <w:szCs w:val="24"/>
                <w:color w:val="auto"/>
              </w:rPr>
            </w:pPr>
          </w:p>
        </w:tc>
      </w:tr>
      <w:tr>
        <w:trPr>
          <w:trHeight w:val="192"/>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40" w:type="dxa"/>
            <w:vAlign w:val="bottom"/>
            <w:tcBorders>
              <w:bottom w:val="single" w:sz="8" w:color="0000EE"/>
            </w:tcBorders>
            <w:gridSpan w:val="16"/>
          </w:tcPr>
          <w:p>
            <w:pPr>
              <w:spacing w:after="0" w:line="192" w:lineRule="exact"/>
              <w:rPr>
                <w:rFonts w:ascii="Times New Roman" w:cs="Times New Roman" w:eastAsia="Times New Roman" w:hAnsi="Times New Roman"/>
                <w:sz w:val="18"/>
                <w:szCs w:val="18"/>
                <w:color w:val="0000EE"/>
                <w:w w:val="96"/>
              </w:rPr>
            </w:pPr>
            <w:hyperlink r:id="rId37">
              <w:r>
                <w:rPr>
                  <w:rFonts w:ascii="Times New Roman" w:cs="Times New Roman" w:eastAsia="Times New Roman" w:hAnsi="Times New Roman"/>
                  <w:sz w:val="18"/>
                  <w:szCs w:val="18"/>
                  <w:color w:val="0000EE"/>
                  <w:w w:val="96"/>
                </w:rPr>
                <w:t>March 10, 2026, by and between Sono Group N.V. and YA II</w:t>
              </w:r>
            </w:hyperlink>
          </w:p>
        </w:tc>
        <w:tc>
          <w:tcPr>
            <w:tcW w:w="280" w:type="dxa"/>
            <w:vAlign w:val="bottom"/>
            <w:gridSpan w:val="9"/>
          </w:tcPr>
          <w:p>
            <w:pPr>
              <w:spacing w:after="0"/>
              <w:rPr>
                <w:sz w:val="16"/>
                <w:szCs w:val="16"/>
                <w:color w:val="auto"/>
              </w:rPr>
            </w:pPr>
          </w:p>
        </w:tc>
      </w:tr>
      <w:tr>
        <w:trPr>
          <w:trHeight w:val="192"/>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20" w:type="dxa"/>
            <w:vAlign w:val="bottom"/>
            <w:gridSpan w:val="25"/>
          </w:tcPr>
          <w:p>
            <w:pPr>
              <w:spacing w:after="0" w:line="192"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PN, Ltd.</w:t>
              </w:r>
            </w:hyperlink>
          </w:p>
        </w:tc>
      </w:tr>
      <w:tr>
        <w:trPr>
          <w:trHeight w:val="20"/>
        </w:trPr>
        <w:tc>
          <w:tcPr>
            <w:tcW w:w="4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4"/>
        </w:trPr>
        <w:tc>
          <w:tcPr>
            <w:tcW w:w="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r:id="rId38">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r:id="rId38">
              <w:r>
                <w:rPr>
                  <w:rFonts w:ascii="Times New Roman" w:cs="Times New Roman" w:eastAsia="Times New Roman" w:hAnsi="Times New Roman"/>
                  <w:sz w:val="18"/>
                  <w:szCs w:val="18"/>
                  <w:color w:val="0000EE"/>
                  <w:w w:val="97"/>
                </w:rPr>
                <w:t>Pre-Funded Warrant, dated March 10, 2026, issued by Sono</w:t>
              </w:r>
            </w:hyperlink>
          </w:p>
        </w:tc>
        <w:tc>
          <w:tcPr>
            <w:tcW w:w="380" w:type="dxa"/>
            <w:vAlign w:val="bottom"/>
            <w:gridSpan w:val="11"/>
          </w:tcPr>
          <w:p>
            <w:pPr>
              <w:spacing w:after="0"/>
              <w:rPr>
                <w:sz w:val="24"/>
                <w:szCs w:val="24"/>
                <w:color w:val="auto"/>
              </w:rPr>
            </w:pPr>
          </w:p>
        </w:tc>
      </w:tr>
      <w:tr>
        <w:trPr>
          <w:trHeight w:val="192"/>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Borders>
              <w:bottom w:val="single" w:sz="8" w:color="0000EE"/>
            </w:tcBorders>
            <w:gridSpan w:val="5"/>
          </w:tcPr>
          <w:p>
            <w:pPr>
              <w:spacing w:after="0" w:line="192" w:lineRule="exact"/>
              <w:rPr>
                <w:rFonts w:ascii="Times New Roman" w:cs="Times New Roman" w:eastAsia="Times New Roman" w:hAnsi="Times New Roman"/>
                <w:sz w:val="18"/>
                <w:szCs w:val="18"/>
                <w:color w:val="0000EE"/>
                <w:w w:val="95"/>
              </w:rPr>
            </w:pPr>
            <w:hyperlink r:id="rId38">
              <w:r>
                <w:rPr>
                  <w:rFonts w:ascii="Times New Roman" w:cs="Times New Roman" w:eastAsia="Times New Roman" w:hAnsi="Times New Roman"/>
                  <w:sz w:val="18"/>
                  <w:szCs w:val="18"/>
                  <w:color w:val="0000EE"/>
                  <w:w w:val="95"/>
                </w:rPr>
                <w:t>Group N.V. to YA II PN, Ltd.</w:t>
              </w:r>
            </w:hyperlink>
          </w:p>
        </w:tc>
        <w:tc>
          <w:tcPr>
            <w:tcW w:w="2520" w:type="dxa"/>
            <w:vAlign w:val="bottom"/>
            <w:gridSpan w:val="20"/>
          </w:tcPr>
          <w:p>
            <w:pPr>
              <w:spacing w:after="0"/>
              <w:rPr>
                <w:sz w:val="16"/>
                <w:szCs w:val="16"/>
                <w:color w:val="auto"/>
              </w:rPr>
            </w:pPr>
          </w:p>
        </w:tc>
      </w:tr>
      <w:tr>
        <w:trPr>
          <w:trHeight w:val="424"/>
        </w:trPr>
        <w:tc>
          <w:tcPr>
            <w:tcW w:w="320" w:type="dxa"/>
            <w:vAlign w:val="bottom"/>
            <w:gridSpan w:val="2"/>
          </w:tcPr>
          <w:p>
            <w:pPr>
              <w:spacing w:after="0"/>
              <w:rPr>
                <w:rFonts w:ascii="Times New Roman" w:cs="Times New Roman" w:eastAsia="Times New Roman" w:hAnsi="Times New Roman"/>
                <w:sz w:val="18"/>
                <w:szCs w:val="18"/>
                <w:color w:val="0000EE"/>
                <w:w w:val="95"/>
              </w:rPr>
            </w:pPr>
            <w:hyperlink r:id="rId39">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5</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5"/>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Registration Rights Agreement, dated March 10, 2026, by and</w:t>
              </w:r>
            </w:hyperlink>
          </w:p>
        </w:tc>
      </w:tr>
      <w:tr>
        <w:trPr>
          <w:trHeight w:val="172"/>
        </w:trPr>
        <w:tc>
          <w:tcPr>
            <w:tcW w:w="2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0" w:type="dxa"/>
            <w:vAlign w:val="bottom"/>
            <w:tcBorders>
              <w:top w:val="single" w:sz="8" w:color="0000EE"/>
            </w:tcBorders>
            <w:gridSpan w:val="19"/>
          </w:tcPr>
          <w:p>
            <w:pPr>
              <w:spacing w:after="0" w:line="172"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between Sono Group N.V. and YA II PN, Ltd.</w:t>
              </w:r>
            </w:hyperlink>
          </w:p>
        </w:tc>
        <w:tc>
          <w:tcPr>
            <w:tcW w:w="220" w:type="dxa"/>
            <w:vAlign w:val="bottom"/>
            <w:gridSpan w:val="6"/>
          </w:tcPr>
          <w:p>
            <w:pPr>
              <w:spacing w:after="0"/>
              <w:rPr>
                <w:sz w:val="14"/>
                <w:szCs w:val="14"/>
                <w:color w:val="auto"/>
              </w:rPr>
            </w:pPr>
          </w:p>
        </w:tc>
      </w:tr>
      <w:tr>
        <w:trPr>
          <w:trHeight w:val="20"/>
        </w:trPr>
        <w:tc>
          <w:tcPr>
            <w:tcW w:w="4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4"/>
        </w:trPr>
        <w:tc>
          <w:tcPr>
            <w:tcW w:w="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r:id="rId40">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6</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7"/>
              </w:rPr>
            </w:pPr>
            <w:hyperlink r:id="rId40">
              <w:r>
                <w:rPr>
                  <w:rFonts w:ascii="Times New Roman" w:cs="Times New Roman" w:eastAsia="Times New Roman" w:hAnsi="Times New Roman"/>
                  <w:sz w:val="18"/>
                  <w:szCs w:val="18"/>
                  <w:color w:val="0000EE"/>
                  <w:w w:val="97"/>
                </w:rPr>
                <w:t>Convertible Debenture, dated March 10, 2026, by and between</w:t>
              </w:r>
            </w:hyperlink>
          </w:p>
        </w:tc>
        <w:tc>
          <w:tcPr>
            <w:tcW w:w="160" w:type="dxa"/>
            <w:vAlign w:val="bottom"/>
            <w:gridSpan w:val="5"/>
          </w:tcPr>
          <w:p>
            <w:pPr>
              <w:spacing w:after="0"/>
              <w:rPr>
                <w:sz w:val="24"/>
                <w:szCs w:val="24"/>
                <w:color w:val="auto"/>
              </w:rPr>
            </w:pPr>
          </w:p>
        </w:tc>
      </w:tr>
      <w:tr>
        <w:trPr>
          <w:trHeight w:val="192"/>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tcBorders>
              <w:bottom w:val="single" w:sz="8" w:color="0000EE"/>
            </w:tcBorders>
            <w:gridSpan w:val="6"/>
          </w:tcPr>
          <w:p>
            <w:pPr>
              <w:spacing w:after="0" w:line="192" w:lineRule="exact"/>
              <w:rPr>
                <w:rFonts w:ascii="Times New Roman" w:cs="Times New Roman" w:eastAsia="Times New Roman" w:hAnsi="Times New Roman"/>
                <w:sz w:val="18"/>
                <w:szCs w:val="18"/>
                <w:color w:val="0000EE"/>
                <w:w w:val="96"/>
              </w:rPr>
            </w:pPr>
            <w:hyperlink r:id="rId40">
              <w:r>
                <w:rPr>
                  <w:rFonts w:ascii="Times New Roman" w:cs="Times New Roman" w:eastAsia="Times New Roman" w:hAnsi="Times New Roman"/>
                  <w:sz w:val="18"/>
                  <w:szCs w:val="18"/>
                  <w:color w:val="0000EE"/>
                  <w:w w:val="96"/>
                </w:rPr>
                <w:t>Sono Group N.V. and YA II PN, Ltd.</w:t>
              </w:r>
            </w:hyperlink>
          </w:p>
        </w:tc>
        <w:tc>
          <w:tcPr>
            <w:tcW w:w="2000" w:type="dxa"/>
            <w:vAlign w:val="bottom"/>
            <w:gridSpan w:val="19"/>
          </w:tcPr>
          <w:p>
            <w:pPr>
              <w:spacing w:after="0"/>
              <w:rPr>
                <w:sz w:val="16"/>
                <w:szCs w:val="16"/>
                <w:color w:val="auto"/>
              </w:rPr>
            </w:pPr>
          </w:p>
        </w:tc>
      </w:tr>
      <w:tr>
        <w:trPr>
          <w:trHeight w:val="404"/>
        </w:trPr>
        <w:tc>
          <w:tcPr>
            <w:tcW w:w="320" w:type="dxa"/>
            <w:vAlign w:val="bottom"/>
            <w:gridSpan w:val="2"/>
          </w:tcPr>
          <w:p>
            <w:pPr>
              <w:spacing w:after="0"/>
              <w:rPr>
                <w:rFonts w:ascii="Times New Roman" w:cs="Times New Roman" w:eastAsia="Times New Roman" w:hAnsi="Times New Roman"/>
                <w:sz w:val="18"/>
                <w:szCs w:val="18"/>
                <w:color w:val="0000EE"/>
                <w:w w:val="95"/>
              </w:rPr>
            </w:pPr>
            <w:hyperlink r:id="rId41">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7</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5"/>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International Swaps and Derivatives Association, Inc. 2002</w:t>
              </w:r>
            </w:hyperlink>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tcBorders>
              <w:bottom w:val="single" w:sz="8" w:color="0000EE"/>
            </w:tcBorders>
            <w:gridSpan w:val="21"/>
          </w:tcPr>
          <w:p>
            <w:pPr>
              <w:spacing w:after="0" w:line="192" w:lineRule="exact"/>
              <w:rPr>
                <w:rFonts w:ascii="Times New Roman" w:cs="Times New Roman" w:eastAsia="Times New Roman" w:hAnsi="Times New Roman"/>
                <w:sz w:val="18"/>
                <w:szCs w:val="18"/>
                <w:color w:val="0000EE"/>
                <w:w w:val="97"/>
              </w:rPr>
            </w:pPr>
            <w:hyperlink r:id="rId41">
              <w:r>
                <w:rPr>
                  <w:rFonts w:ascii="Times New Roman" w:cs="Times New Roman" w:eastAsia="Times New Roman" w:hAnsi="Times New Roman"/>
                  <w:sz w:val="18"/>
                  <w:szCs w:val="18"/>
                  <w:color w:val="0000EE"/>
                  <w:w w:val="97"/>
                </w:rPr>
                <w:t>ISDA Master Agreement, dated as of March 10, 2026, between</w:t>
              </w:r>
            </w:hyperlink>
          </w:p>
        </w:tc>
        <w:tc>
          <w:tcPr>
            <w:tcW w:w="140" w:type="dxa"/>
            <w:vAlign w:val="bottom"/>
            <w:gridSpan w:val="4"/>
          </w:tcPr>
          <w:p>
            <w:pPr>
              <w:spacing w:after="0"/>
              <w:rPr>
                <w:sz w:val="16"/>
                <w:szCs w:val="16"/>
                <w:color w:val="auto"/>
              </w:rPr>
            </w:pPr>
          </w:p>
        </w:tc>
      </w:tr>
      <w:tr>
        <w:trPr>
          <w:trHeight w:val="192"/>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60" w:type="dxa"/>
            <w:vAlign w:val="bottom"/>
            <w:tcBorders>
              <w:bottom w:val="single" w:sz="8" w:color="0000EE"/>
            </w:tcBorders>
            <w:gridSpan w:val="9"/>
          </w:tcPr>
          <w:p>
            <w:pPr>
              <w:spacing w:after="0" w:line="192" w:lineRule="exact"/>
              <w:rPr>
                <w:rFonts w:ascii="Times New Roman" w:cs="Times New Roman" w:eastAsia="Times New Roman" w:hAnsi="Times New Roman"/>
                <w:sz w:val="18"/>
                <w:szCs w:val="18"/>
                <w:color w:val="0000EE"/>
                <w:w w:val="97"/>
              </w:rPr>
            </w:pPr>
            <w:hyperlink r:id="rId41">
              <w:r>
                <w:rPr>
                  <w:rFonts w:ascii="Times New Roman" w:cs="Times New Roman" w:eastAsia="Times New Roman" w:hAnsi="Times New Roman"/>
                  <w:sz w:val="18"/>
                  <w:szCs w:val="18"/>
                  <w:color w:val="0000EE"/>
                  <w:w w:val="97"/>
                </w:rPr>
                <w:t>Blockchain.com (BVI) II Limited and Sono Group N.V.</w:t>
              </w:r>
            </w:hyperlink>
          </w:p>
        </w:tc>
        <w:tc>
          <w:tcPr>
            <w:tcW w:w="660" w:type="dxa"/>
            <w:vAlign w:val="bottom"/>
            <w:gridSpan w:val="16"/>
          </w:tcPr>
          <w:p>
            <w:pPr>
              <w:spacing w:after="0"/>
              <w:rPr>
                <w:sz w:val="16"/>
                <w:szCs w:val="16"/>
                <w:color w:val="auto"/>
              </w:rPr>
            </w:pPr>
          </w:p>
        </w:tc>
      </w:tr>
      <w:tr>
        <w:trPr>
          <w:trHeight w:val="404"/>
        </w:trPr>
        <w:tc>
          <w:tcPr>
            <w:tcW w:w="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r:id="rId42">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8</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8"/>
              </w:rPr>
            </w:pPr>
            <w:hyperlink r:id="rId42">
              <w:r>
                <w:rPr>
                  <w:rFonts w:ascii="Times New Roman" w:cs="Times New Roman" w:eastAsia="Times New Roman" w:hAnsi="Times New Roman"/>
                  <w:sz w:val="18"/>
                  <w:szCs w:val="18"/>
                  <w:color w:val="0000EE"/>
                  <w:w w:val="98"/>
                </w:rPr>
                <w:t>International Swaps and Derivatives Association, Inc. Schedule</w:t>
              </w:r>
            </w:hyperlink>
          </w:p>
        </w:tc>
        <w:tc>
          <w:tcPr>
            <w:tcW w:w="100" w:type="dxa"/>
            <w:vAlign w:val="bottom"/>
            <w:gridSpan w:val="2"/>
          </w:tcPr>
          <w:p>
            <w:pPr>
              <w:spacing w:after="0"/>
              <w:rPr>
                <w:sz w:val="24"/>
                <w:szCs w:val="24"/>
                <w:color w:val="auto"/>
              </w:rPr>
            </w:pPr>
          </w:p>
        </w:tc>
      </w:tr>
      <w:tr>
        <w:trPr>
          <w:trHeight w:val="192"/>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20" w:type="dxa"/>
            <w:vAlign w:val="bottom"/>
            <w:gridSpan w:val="25"/>
          </w:tcPr>
          <w:p>
            <w:pPr>
              <w:spacing w:after="0" w:line="192"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to the 2002 ISDA Master Agreement, dated as of March 10,</w:t>
              </w:r>
            </w:hyperlink>
          </w:p>
        </w:tc>
      </w:tr>
      <w:tr>
        <w:trPr>
          <w:trHeight w:val="192"/>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40" w:type="dxa"/>
            <w:vAlign w:val="bottom"/>
            <w:tcBorders>
              <w:top w:val="single" w:sz="8" w:color="0000EE"/>
            </w:tcBorders>
            <w:gridSpan w:val="14"/>
          </w:tcPr>
          <w:p>
            <w:pPr>
              <w:spacing w:after="0" w:line="192"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2026, between Blockchain.com (BVI) II Limited and Sono</w:t>
              </w:r>
            </w:hyperlink>
          </w:p>
        </w:tc>
        <w:tc>
          <w:tcPr>
            <w:tcW w:w="380" w:type="dxa"/>
            <w:vAlign w:val="bottom"/>
            <w:gridSpan w:val="11"/>
          </w:tcPr>
          <w:p>
            <w:pPr>
              <w:spacing w:after="0"/>
              <w:rPr>
                <w:sz w:val="16"/>
                <w:szCs w:val="16"/>
                <w:color w:val="auto"/>
              </w:rPr>
            </w:pPr>
          </w:p>
        </w:tc>
      </w:tr>
      <w:tr>
        <w:trPr>
          <w:trHeight w:val="192"/>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0" w:type="dxa"/>
            <w:vAlign w:val="bottom"/>
            <w:tcBorders>
              <w:top w:val="single" w:sz="8" w:color="0000EE"/>
            </w:tcBorders>
            <w:gridSpan w:val="12"/>
          </w:tcPr>
          <w:p>
            <w:pPr>
              <w:spacing w:after="0" w:line="192"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Group N.V.</w:t>
              </w:r>
            </w:hyperlink>
          </w:p>
        </w:tc>
        <w:tc>
          <w:tcPr>
            <w:tcW w:w="420" w:type="dxa"/>
            <w:vAlign w:val="bottom"/>
            <w:gridSpan w:val="13"/>
          </w:tcPr>
          <w:p>
            <w:pPr>
              <w:spacing w:after="0"/>
              <w:rPr>
                <w:sz w:val="16"/>
                <w:szCs w:val="16"/>
                <w:color w:val="auto"/>
              </w:rPr>
            </w:pPr>
          </w:p>
        </w:tc>
      </w:tr>
      <w:tr>
        <w:trPr>
          <w:trHeight w:val="20"/>
        </w:trPr>
        <w:tc>
          <w:tcPr>
            <w:tcW w:w="4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4"/>
        </w:trPr>
        <w:tc>
          <w:tcPr>
            <w:tcW w:w="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r:id="rId43">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9</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7"/>
              </w:rPr>
            </w:pPr>
            <w:hyperlink r:id="rId43">
              <w:r>
                <w:rPr>
                  <w:rFonts w:ascii="Times New Roman" w:cs="Times New Roman" w:eastAsia="Times New Roman" w:hAnsi="Times New Roman"/>
                  <w:sz w:val="18"/>
                  <w:szCs w:val="18"/>
                  <w:color w:val="0000EE"/>
                  <w:w w:val="97"/>
                </w:rPr>
                <w:t>International Swaps and Derivatives Association, Inc. Credit</w:t>
              </w:r>
            </w:hyperlink>
          </w:p>
        </w:tc>
        <w:tc>
          <w:tcPr>
            <w:tcW w:w="300" w:type="dxa"/>
            <w:vAlign w:val="bottom"/>
            <w:gridSpan w:val="10"/>
          </w:tcPr>
          <w:p>
            <w:pPr>
              <w:spacing w:after="0"/>
              <w:rPr>
                <w:sz w:val="24"/>
                <w:szCs w:val="24"/>
                <w:color w:val="auto"/>
              </w:rPr>
            </w:pPr>
          </w:p>
        </w:tc>
      </w:tr>
      <w:tr>
        <w:trPr>
          <w:trHeight w:val="172"/>
        </w:trPr>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20" w:type="dxa"/>
            <w:vAlign w:val="bottom"/>
            <w:gridSpan w:val="25"/>
          </w:tcPr>
          <w:p>
            <w:pPr>
              <w:spacing w:after="0" w:line="172"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Support Annex to the Schedule to the 2002 ISDA Master</w:t>
              </w:r>
            </w:hyperlink>
          </w:p>
        </w:tc>
      </w:tr>
      <w:tr>
        <w:trPr>
          <w:trHeight w:val="192"/>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40" w:type="dxa"/>
            <w:vAlign w:val="bottom"/>
            <w:tcBorders>
              <w:top w:val="single" w:sz="8" w:color="0000EE"/>
            </w:tcBorders>
            <w:gridSpan w:val="11"/>
          </w:tcPr>
          <w:p>
            <w:pPr>
              <w:spacing w:after="0" w:line="192"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Agreement, dated as of March 10, 2026, between</w:t>
              </w:r>
            </w:hyperlink>
          </w:p>
        </w:tc>
        <w:tc>
          <w:tcPr>
            <w:tcW w:w="580" w:type="dxa"/>
            <w:vAlign w:val="bottom"/>
            <w:gridSpan w:val="14"/>
          </w:tcPr>
          <w:p>
            <w:pPr>
              <w:spacing w:after="0"/>
              <w:rPr>
                <w:sz w:val="16"/>
                <w:szCs w:val="16"/>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60" w:type="dxa"/>
            <w:vAlign w:val="bottom"/>
            <w:tcBorders>
              <w:bottom w:val="single" w:sz="8" w:color="0000EE"/>
            </w:tcBorders>
            <w:gridSpan w:val="9"/>
          </w:tcPr>
          <w:p>
            <w:pPr>
              <w:spacing w:after="0" w:line="192" w:lineRule="exact"/>
              <w:rPr>
                <w:rFonts w:ascii="Times New Roman" w:cs="Times New Roman" w:eastAsia="Times New Roman" w:hAnsi="Times New Roman"/>
                <w:sz w:val="18"/>
                <w:szCs w:val="18"/>
                <w:color w:val="0000EE"/>
                <w:w w:val="97"/>
              </w:rPr>
            </w:pPr>
            <w:hyperlink r:id="rId43">
              <w:r>
                <w:rPr>
                  <w:rFonts w:ascii="Times New Roman" w:cs="Times New Roman" w:eastAsia="Times New Roman" w:hAnsi="Times New Roman"/>
                  <w:sz w:val="18"/>
                  <w:szCs w:val="18"/>
                  <w:color w:val="0000EE"/>
                  <w:w w:val="97"/>
                </w:rPr>
                <w:t>Blockchain.com (BVI) II Limited and Sono Group N.V.</w:t>
              </w:r>
            </w:hyperlink>
          </w:p>
        </w:tc>
        <w:tc>
          <w:tcPr>
            <w:tcW w:w="660" w:type="dxa"/>
            <w:vAlign w:val="bottom"/>
            <w:gridSpan w:val="16"/>
          </w:tcPr>
          <w:p>
            <w:pPr>
              <w:spacing w:after="0"/>
              <w:rPr>
                <w:sz w:val="16"/>
                <w:szCs w:val="16"/>
                <w:color w:val="auto"/>
              </w:rPr>
            </w:pPr>
          </w:p>
        </w:tc>
      </w:tr>
      <w:tr>
        <w:trPr>
          <w:trHeight w:val="404"/>
        </w:trPr>
        <w:tc>
          <w:tcPr>
            <w:tcW w:w="1020" w:type="dxa"/>
            <w:vAlign w:val="bottom"/>
            <w:gridSpan w:val="4"/>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w:t>
              </w:r>
            </w:hyperlink>
          </w:p>
        </w:tc>
        <w:tc>
          <w:tcPr>
            <w:tcW w:w="120" w:type="dxa"/>
            <w:vAlign w:val="bottom"/>
          </w:tcPr>
          <w:p>
            <w:pPr>
              <w:spacing w:after="0"/>
              <w:rPr>
                <w:sz w:val="24"/>
                <w:szCs w:val="24"/>
                <w:color w:val="auto"/>
              </w:rPr>
            </w:pPr>
          </w:p>
        </w:tc>
        <w:tc>
          <w:tcPr>
            <w:tcW w:w="4620" w:type="dxa"/>
            <w:vAlign w:val="bottom"/>
            <w:gridSpan w:val="25"/>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Share Purchase and Transfer Agreement dated May 4, 2026</w:t>
              </w:r>
            </w:hyperlink>
          </w:p>
        </w:tc>
      </w:tr>
      <w:tr>
        <w:trPr>
          <w:trHeight w:val="20"/>
        </w:trPr>
        <w:tc>
          <w:tcPr>
            <w:tcW w:w="40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160" w:type="dxa"/>
            <w:vAlign w:val="bottom"/>
            <w:gridSpan w:val="9"/>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4"/>
        </w:trPr>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11</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Convertible Debenture, dated April 28, 2026, by and between</w:t>
            </w:r>
          </w:p>
        </w:tc>
      </w:tr>
      <w:tr>
        <w:trPr>
          <w:trHeight w:val="192"/>
        </w:trPr>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tcBorders>
              <w:top w:val="single" w:sz="8" w:color="0000EE"/>
              <w:bottom w:val="single" w:sz="8" w:color="0000EE"/>
            </w:tcBorders>
            <w:gridSpan w:val="6"/>
          </w:tcPr>
          <w:p>
            <w:pPr>
              <w:spacing w:after="0" w:line="192" w:lineRule="exact"/>
              <w:rPr>
                <w:sz w:val="20"/>
                <w:szCs w:val="20"/>
                <w:color w:val="auto"/>
              </w:rPr>
            </w:pPr>
            <w:r>
              <w:rPr>
                <w:rFonts w:ascii="Times New Roman" w:cs="Times New Roman" w:eastAsia="Times New Roman" w:hAnsi="Times New Roman"/>
                <w:sz w:val="18"/>
                <w:szCs w:val="18"/>
                <w:color w:val="0000EE"/>
                <w:w w:val="96"/>
              </w:rPr>
              <w:t>Sono Group N.V. and YA II PN, Ltd.</w:t>
            </w:r>
          </w:p>
        </w:tc>
        <w:tc>
          <w:tcPr>
            <w:tcW w:w="1740" w:type="dxa"/>
            <w:vAlign w:val="bottom"/>
            <w:tcBorders>
              <w:top w:val="single" w:sz="8" w:color="0000EE"/>
            </w:tcBorders>
            <w:gridSpan w:val="11"/>
          </w:tcPr>
          <w:p>
            <w:pPr>
              <w:spacing w:after="0"/>
              <w:rPr>
                <w:sz w:val="16"/>
                <w:szCs w:val="16"/>
                <w:color w:val="auto"/>
              </w:rPr>
            </w:pPr>
          </w:p>
        </w:tc>
        <w:tc>
          <w:tcPr>
            <w:tcW w:w="260" w:type="dxa"/>
            <w:vAlign w:val="bottom"/>
            <w:gridSpan w:val="8"/>
          </w:tcPr>
          <w:p>
            <w:pPr>
              <w:spacing w:after="0"/>
              <w:rPr>
                <w:sz w:val="16"/>
                <w:szCs w:val="16"/>
                <w:color w:val="auto"/>
              </w:rPr>
            </w:pPr>
          </w:p>
        </w:tc>
      </w:tr>
      <w:tr>
        <w:trPr>
          <w:trHeight w:val="404"/>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Executive Officer pursuant to Rule</w:t>
            </w:r>
          </w:p>
        </w:tc>
      </w:tr>
      <w:tr>
        <w:trPr>
          <w:trHeight w:val="192"/>
        </w:trPr>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00" w:type="dxa"/>
            <w:vAlign w:val="bottom"/>
            <w:tcBorders>
              <w:top w:val="single" w:sz="8" w:color="0000EE"/>
              <w:bottom w:val="single" w:sz="8" w:color="0000EE"/>
            </w:tcBorders>
            <w:gridSpan w:val="22"/>
          </w:tcPr>
          <w:p>
            <w:pPr>
              <w:spacing w:after="0" w:line="192" w:lineRule="exact"/>
              <w:rPr>
                <w:sz w:val="20"/>
                <w:szCs w:val="20"/>
                <w:color w:val="auto"/>
              </w:rPr>
            </w:pPr>
            <w:r>
              <w:rPr>
                <w:rFonts w:ascii="Times New Roman" w:cs="Times New Roman" w:eastAsia="Times New Roman" w:hAnsi="Times New Roman"/>
                <w:sz w:val="18"/>
                <w:szCs w:val="18"/>
                <w:color w:val="0000EE"/>
                <w:w w:val="98"/>
              </w:rPr>
              <w:t>13a-14(a) or 15d-14(a) of the Securities Exchange Act of 1934.</w:t>
            </w:r>
          </w:p>
        </w:tc>
        <w:tc>
          <w:tcPr>
            <w:tcW w:w="40" w:type="dxa"/>
            <w:vAlign w:val="bottom"/>
            <w:tcBorders>
              <w:top w:val="single" w:sz="8" w:color="0000EE"/>
            </w:tcBorders>
            <w:gridSpan w:val="2"/>
          </w:tcPr>
          <w:p>
            <w:pPr>
              <w:spacing w:after="0"/>
              <w:rPr>
                <w:sz w:val="16"/>
                <w:szCs w:val="16"/>
                <w:color w:val="auto"/>
              </w:rPr>
            </w:pPr>
          </w:p>
        </w:tc>
        <w:tc>
          <w:tcPr>
            <w:tcW w:w="80" w:type="dxa"/>
            <w:vAlign w:val="bottom"/>
          </w:tcPr>
          <w:p>
            <w:pPr>
              <w:spacing w:after="0"/>
              <w:rPr>
                <w:sz w:val="16"/>
                <w:szCs w:val="16"/>
                <w:color w:val="auto"/>
              </w:rPr>
            </w:pPr>
          </w:p>
        </w:tc>
      </w:tr>
      <w:tr>
        <w:trPr>
          <w:trHeight w:val="404"/>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2</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7"/>
              </w:rPr>
              <w:t>Certification of the Principal Financial Officer pursuant to Rule</w:t>
            </w:r>
          </w:p>
        </w:tc>
        <w:tc>
          <w:tcPr>
            <w:tcW w:w="120" w:type="dxa"/>
            <w:vAlign w:val="bottom"/>
            <w:gridSpan w:val="3"/>
          </w:tcPr>
          <w:p>
            <w:pPr>
              <w:spacing w:after="0"/>
              <w:rPr>
                <w:sz w:val="24"/>
                <w:szCs w:val="24"/>
                <w:color w:val="auto"/>
              </w:rPr>
            </w:pPr>
          </w:p>
        </w:tc>
      </w:tr>
      <w:tr>
        <w:trPr>
          <w:trHeight w:val="192"/>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2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13a-14(a) or 15d-14(a) of the Securities Exchange Act of 1934.</w:t>
            </w:r>
          </w:p>
        </w:tc>
      </w:tr>
      <w:tr>
        <w:trPr>
          <w:trHeight w:val="404"/>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Executive Officer pursuant to 18</w:t>
            </w:r>
          </w:p>
        </w:tc>
        <w:tc>
          <w:tcPr>
            <w:tcW w:w="140" w:type="dxa"/>
            <w:vAlign w:val="bottom"/>
            <w:gridSpan w:val="4"/>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280" w:type="dxa"/>
            <w:vAlign w:val="bottom"/>
            <w:gridSpan w:val="1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92"/>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60" w:type="dxa"/>
            <w:vAlign w:val="bottom"/>
            <w:tcBorders>
              <w:bottom w:val="single" w:sz="8" w:color="0000EE"/>
            </w:tcBorders>
            <w:gridSpan w:val="20"/>
          </w:tcPr>
          <w:p>
            <w:pPr>
              <w:spacing w:after="0" w:line="192" w:lineRule="exact"/>
              <w:rPr>
                <w:sz w:val="20"/>
                <w:szCs w:val="20"/>
                <w:color w:val="auto"/>
              </w:rPr>
            </w:pPr>
            <w:r>
              <w:rPr>
                <w:rFonts w:ascii="Times New Roman" w:cs="Times New Roman" w:eastAsia="Times New Roman" w:hAnsi="Times New Roman"/>
                <w:sz w:val="18"/>
                <w:szCs w:val="18"/>
                <w:color w:val="0000EE"/>
                <w:w w:val="97"/>
              </w:rPr>
              <w:t>U.S.C. Section 1350, as adopted pursuant to Section 906 of the</w:t>
            </w:r>
          </w:p>
        </w:tc>
        <w:tc>
          <w:tcPr>
            <w:tcW w:w="160" w:type="dxa"/>
            <w:vAlign w:val="bottom"/>
            <w:gridSpan w:val="5"/>
          </w:tcPr>
          <w:p>
            <w:pPr>
              <w:spacing w:after="0"/>
              <w:rPr>
                <w:sz w:val="16"/>
                <w:szCs w:val="16"/>
                <w:color w:val="auto"/>
              </w:rPr>
            </w:pPr>
          </w:p>
        </w:tc>
      </w:tr>
      <w:tr>
        <w:trPr>
          <w:trHeight w:val="192"/>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2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4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280" w:type="dxa"/>
            <w:vAlign w:val="bottom"/>
            <w:gridSpan w:val="12"/>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404"/>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2</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7"/>
              </w:rPr>
              <w:t>Certification of the Principal Financial Officer pursuant to 18</w:t>
            </w:r>
          </w:p>
        </w:tc>
        <w:tc>
          <w:tcPr>
            <w:tcW w:w="280" w:type="dxa"/>
            <w:vAlign w:val="bottom"/>
            <w:gridSpan w:val="9"/>
          </w:tcPr>
          <w:p>
            <w:pPr>
              <w:spacing w:after="0"/>
              <w:rPr>
                <w:sz w:val="24"/>
                <w:szCs w:val="24"/>
                <w:color w:val="auto"/>
              </w:rPr>
            </w:pPr>
          </w:p>
        </w:tc>
      </w:tr>
      <w:tr>
        <w:trPr>
          <w:trHeight w:val="192"/>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60" w:type="dxa"/>
            <w:vAlign w:val="bottom"/>
            <w:tcBorders>
              <w:bottom w:val="single" w:sz="8" w:color="0000EE"/>
            </w:tcBorders>
            <w:gridSpan w:val="20"/>
          </w:tcPr>
          <w:p>
            <w:pPr>
              <w:spacing w:after="0" w:line="192" w:lineRule="exact"/>
              <w:rPr>
                <w:sz w:val="20"/>
                <w:szCs w:val="20"/>
                <w:color w:val="auto"/>
              </w:rPr>
            </w:pPr>
            <w:r>
              <w:rPr>
                <w:rFonts w:ascii="Times New Roman" w:cs="Times New Roman" w:eastAsia="Times New Roman" w:hAnsi="Times New Roman"/>
                <w:sz w:val="18"/>
                <w:szCs w:val="18"/>
                <w:color w:val="0000EE"/>
                <w:w w:val="97"/>
              </w:rPr>
              <w:t>U.S.C. Section 1350, as adopted pursuant to Section 906 of the</w:t>
            </w:r>
          </w:p>
        </w:tc>
        <w:tc>
          <w:tcPr>
            <w:tcW w:w="160" w:type="dxa"/>
            <w:vAlign w:val="bottom"/>
            <w:gridSpan w:val="5"/>
          </w:tcPr>
          <w:p>
            <w:pPr>
              <w:spacing w:after="0"/>
              <w:rPr>
                <w:sz w:val="16"/>
                <w:szCs w:val="16"/>
                <w:color w:val="auto"/>
              </w:rPr>
            </w:pPr>
          </w:p>
        </w:tc>
      </w:tr>
      <w:tr>
        <w:trPr>
          <w:trHeight w:val="192"/>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2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10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560" w:type="dxa"/>
            <w:vAlign w:val="bottom"/>
            <w:gridSpan w:val="21"/>
          </w:tcPr>
          <w:p>
            <w:pPr>
              <w:spacing w:after="0" w:line="20" w:lineRule="exact"/>
              <w:rPr>
                <w:sz w:val="1"/>
                <w:szCs w:val="1"/>
                <w:color w:val="auto"/>
              </w:rPr>
            </w:pPr>
          </w:p>
        </w:tc>
      </w:tr>
      <w:tr>
        <w:trPr>
          <w:trHeight w:val="425"/>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46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r>
      <w:tr>
        <w:trPr>
          <w:trHeight w:val="212"/>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20" w:type="dxa"/>
            <w:vAlign w:val="bottom"/>
            <w:gridSpan w:val="25"/>
          </w:tcPr>
          <w:p>
            <w:pPr>
              <w:spacing w:after="0"/>
              <w:rPr>
                <w:sz w:val="20"/>
                <w:szCs w:val="20"/>
                <w:color w:val="auto"/>
              </w:rPr>
            </w:pPr>
            <w:r>
              <w:rPr>
                <w:rFonts w:ascii="Times New Roman" w:cs="Times New Roman" w:eastAsia="Times New Roman" w:hAnsi="Times New Roman"/>
                <w:sz w:val="18"/>
                <w:szCs w:val="18"/>
                <w:color w:val="auto"/>
                <w:w w:val="98"/>
              </w:rPr>
              <w:t>not appear in the Interactive Data File because its XBRL tags are</w:t>
            </w:r>
          </w:p>
        </w:tc>
      </w:tr>
      <w:tr>
        <w:trPr>
          <w:trHeight w:val="231"/>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24"/>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46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05"/>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46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1"/>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w w:val="97"/>
              </w:rPr>
              <w:t>Incorporated by Reference</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Filed/Furnished</w:t>
            </w:r>
          </w:p>
        </w:tc>
        <w:tc>
          <w:tcPr>
            <w:tcW w:w="0" w:type="dxa"/>
            <w:vAlign w:val="bottom"/>
          </w:tcPr>
          <w:p>
            <w:pPr>
              <w:spacing w:after="0"/>
              <w:rPr>
                <w:sz w:val="1"/>
                <w:szCs w:val="1"/>
                <w:color w:val="auto"/>
              </w:rPr>
            </w:pPr>
          </w:p>
        </w:tc>
      </w:tr>
      <w:tr>
        <w:trPr>
          <w:trHeight w:val="187"/>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Filing</w:t>
            </w: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Form</w:t>
            </w:r>
          </w:p>
        </w:tc>
        <w:tc>
          <w:tcPr>
            <w:tcW w:w="120" w:type="dxa"/>
            <w:vAlign w:val="bottom"/>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File No.</w:t>
            </w:r>
          </w:p>
        </w:tc>
        <w:tc>
          <w:tcPr>
            <w:tcW w:w="100" w:type="dxa"/>
            <w:vAlign w:val="bottom"/>
          </w:tcPr>
          <w:p>
            <w:pPr>
              <w:spacing w:after="0"/>
              <w:rPr>
                <w:sz w:val="20"/>
                <w:szCs w:val="20"/>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Exhibit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Herewith</w:t>
            </w:r>
          </w:p>
        </w:tc>
        <w:tc>
          <w:tcPr>
            <w:tcW w:w="0" w:type="dxa"/>
            <w:vAlign w:val="bottom"/>
          </w:tcPr>
          <w:p>
            <w:pPr>
              <w:spacing w:after="0"/>
              <w:rPr>
                <w:sz w:val="1"/>
                <w:szCs w:val="1"/>
                <w:color w:val="auto"/>
              </w:rPr>
            </w:pPr>
          </w:p>
        </w:tc>
      </w:tr>
      <w:tr>
        <w:trPr>
          <w:trHeight w:val="41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001-41066</w:t>
            </w:r>
          </w:p>
        </w:tc>
        <w:tc>
          <w:tcPr>
            <w:tcW w:w="100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11/20/2025</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10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8"/>
              </w:rPr>
              <w:t>333-260432</w:t>
            </w:r>
          </w:p>
        </w:tc>
        <w:tc>
          <w:tcPr>
            <w:tcW w:w="100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11/8/2021</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10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8"/>
              </w:rPr>
              <w:t>333-260432</w:t>
            </w:r>
          </w:p>
        </w:tc>
        <w:tc>
          <w:tcPr>
            <w:tcW w:w="100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11/8/2021</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001-41066</w:t>
            </w:r>
          </w:p>
        </w:tc>
        <w:tc>
          <w:tcPr>
            <w:tcW w:w="100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01/29/2026</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001-41066</w:t>
            </w:r>
          </w:p>
        </w:tc>
        <w:tc>
          <w:tcPr>
            <w:tcW w:w="100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02/24/2026</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001-41066</w:t>
            </w:r>
          </w:p>
        </w:tc>
        <w:tc>
          <w:tcPr>
            <w:tcW w:w="100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03/10/2026</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001-41066</w:t>
            </w:r>
          </w:p>
        </w:tc>
        <w:tc>
          <w:tcPr>
            <w:tcW w:w="100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03/10/2026</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001-41066</w:t>
            </w:r>
          </w:p>
        </w:tc>
        <w:tc>
          <w:tcPr>
            <w:tcW w:w="100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03/10/2026</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001-41066</w:t>
            </w:r>
          </w:p>
        </w:tc>
        <w:tc>
          <w:tcPr>
            <w:tcW w:w="100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03/10/2026</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001-41066</w:t>
            </w:r>
          </w:p>
        </w:tc>
        <w:tc>
          <w:tcPr>
            <w:tcW w:w="100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03/16/2026</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001-41066</w:t>
            </w:r>
          </w:p>
        </w:tc>
        <w:tc>
          <w:tcPr>
            <w:tcW w:w="100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03/16/2026</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0"/>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001-41066</w:t>
            </w:r>
          </w:p>
        </w:tc>
        <w:tc>
          <w:tcPr>
            <w:tcW w:w="100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03/16/2026</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0"/>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001-41066</w:t>
            </w:r>
          </w:p>
        </w:tc>
        <w:tc>
          <w:tcPr>
            <w:tcW w:w="100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05/08/2026</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5760" w:space="120"/>
            <w:col w:w="5360"/>
          </w:cols>
          <w:pgMar w:left="320" w:top="570" w:right="339" w:bottom="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900" w:type="dxa"/>
            <w:vAlign w:val="bottom"/>
          </w:tcPr>
          <w:p>
            <w:pPr>
              <w:spacing w:after="0"/>
              <w:rPr>
                <w:sz w:val="20"/>
                <w:szCs w:val="20"/>
                <w:color w:val="auto"/>
              </w:rPr>
            </w:pPr>
          </w:p>
        </w:tc>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Document.</w:t>
            </w:r>
          </w:p>
        </w:tc>
        <w:tc>
          <w:tcPr>
            <w:tcW w:w="2560" w:type="dxa"/>
            <w:vAlign w:val="bottom"/>
          </w:tcPr>
          <w:p>
            <w:pPr>
              <w:spacing w:after="0"/>
              <w:rPr>
                <w:sz w:val="20"/>
                <w:szCs w:val="20"/>
                <w:color w:val="auto"/>
              </w:rPr>
            </w:pPr>
          </w:p>
        </w:tc>
      </w:tr>
      <w:tr>
        <w:trPr>
          <w:trHeight w:val="4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900" w:type="dxa"/>
            <w:vAlign w:val="bottom"/>
          </w:tcPr>
          <w:p>
            <w:pPr>
              <w:spacing w:after="0"/>
              <w:rPr>
                <w:sz w:val="20"/>
                <w:szCs w:val="20"/>
                <w:color w:val="auto"/>
              </w:rPr>
            </w:pPr>
          </w:p>
        </w:tc>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contained in Exhibit 101)</w:t>
            </w:r>
          </w:p>
        </w:tc>
        <w:tc>
          <w:tcPr>
            <w:tcW w:w="2560" w:type="dxa"/>
            <w:vAlign w:val="bottom"/>
          </w:tcPr>
          <w:p>
            <w:pPr>
              <w:spacing w:after="0"/>
              <w:rPr>
                <w:sz w:val="20"/>
                <w:szCs w:val="20"/>
                <w:color w:val="auto"/>
              </w:rPr>
            </w:pPr>
          </w:p>
        </w:tc>
      </w:tr>
    </w:tbl>
    <w:p>
      <w:pPr>
        <w:spacing w:after="0" w:line="193" w:lineRule="exact"/>
        <w:rPr>
          <w:sz w:val="20"/>
          <w:szCs w:val="20"/>
          <w:color w:val="auto"/>
        </w:rPr>
      </w:pPr>
    </w:p>
    <w:p>
      <w:pPr>
        <w:ind w:left="480" w:hanging="474"/>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4" w:lineRule="exact"/>
        <w:rPr>
          <w:sz w:val="20"/>
          <w:szCs w:val="20"/>
          <w:color w:val="auto"/>
        </w:rPr>
      </w:pPr>
    </w:p>
    <w:p>
      <w:pPr>
        <w:ind w:left="480" w:hanging="474"/>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9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720"/>
          </w:cols>
          <w:pgMar w:left="320" w:top="333" w:right="859" w:bottom="1440" w:gutter="0" w:footer="0" w:header="0"/>
        </w:sectPr>
      </w:pPr>
    </w:p>
    <w:bookmarkStart w:id="35" w:name="page36"/>
    <w:bookmarkEnd w:id="3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ind w:right="640" w:firstLine="459"/>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60" w:type="dxa"/>
        <w:tblCellMar>
          <w:top w:w="0" w:type="dxa"/>
          <w:left w:w="0" w:type="dxa"/>
          <w:bottom w:w="0" w:type="dxa"/>
          <w:right w:w="0" w:type="dxa"/>
        </w:tblCellMar>
      </w:tblPr>
      <w:tr>
        <w:trPr>
          <w:trHeight w:val="233"/>
        </w:trPr>
        <w:tc>
          <w:tcPr>
            <w:tcW w:w="3500" w:type="dxa"/>
            <w:vAlign w:val="bottom"/>
          </w:tcPr>
          <w:p>
            <w:pPr>
              <w:spacing w:after="0"/>
              <w:rPr>
                <w:sz w:val="20"/>
                <w:szCs w:val="20"/>
                <w:color w:val="auto"/>
              </w:rPr>
            </w:pPr>
          </w:p>
        </w:tc>
        <w:tc>
          <w:tcPr>
            <w:tcW w:w="762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SONO GROUP N.V.</w:t>
            </w:r>
          </w:p>
        </w:tc>
      </w:tr>
      <w:tr>
        <w:trPr>
          <w:trHeight w:val="4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2026</w:t>
            </w:r>
          </w:p>
        </w:tc>
        <w:tc>
          <w:tcPr>
            <w:tcW w:w="24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McGurn</w:t>
            </w:r>
          </w:p>
        </w:tc>
      </w:tr>
      <w:tr>
        <w:trPr>
          <w:trHeight w:val="187"/>
        </w:trPr>
        <w:tc>
          <w:tcPr>
            <w:tcW w:w="35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2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6"/>
              </w:rPr>
              <w:t>Kevin McGurn</w:t>
            </w:r>
          </w:p>
        </w:tc>
      </w:tr>
      <w:tr>
        <w:trPr>
          <w:trHeight w:val="231"/>
        </w:trPr>
        <w:tc>
          <w:tcPr>
            <w:tcW w:w="35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Chief Executive Officer and Managing Director</w:t>
            </w:r>
          </w:p>
        </w:tc>
      </w:tr>
      <w:tr>
        <w:trPr>
          <w:trHeight w:val="4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2026</w:t>
            </w:r>
          </w:p>
        </w:tc>
        <w:tc>
          <w:tcPr>
            <w:tcW w:w="24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M. Scott Calhoun</w:t>
            </w:r>
          </w:p>
        </w:tc>
      </w:tr>
      <w:tr>
        <w:trPr>
          <w:trHeight w:val="187"/>
        </w:trPr>
        <w:tc>
          <w:tcPr>
            <w:tcW w:w="35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2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M. Scott Calhoun</w:t>
            </w:r>
          </w:p>
        </w:tc>
      </w:tr>
      <w:tr>
        <w:trPr>
          <w:trHeight w:val="231"/>
        </w:trPr>
        <w:tc>
          <w:tcPr>
            <w:tcW w:w="35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180"/>
          </w:cols>
          <w:pgMar w:left="320" w:top="570" w:right="3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0" w:lineRule="exact"/>
        <w:rPr>
          <w:sz w:val="20"/>
          <w:szCs w:val="20"/>
          <w:color w:val="auto"/>
        </w:rPr>
      </w:pP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NEITHER THIS DEBENTURE NOR THE SECURITIES INTO WHICH THIS DEBENTURE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SECURITIES ACT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AND, ACCORDINGLY, MAY NOT BE OFFERED OR SOLD EXCEPT PURSUANT TO AN</w:t>
      </w:r>
    </w:p>
    <w:p>
      <w:pPr>
        <w:spacing w:after="0" w:line="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color w:val="auto"/>
        </w:rPr>
        <w:t>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sono group 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5"/>
          <w:szCs w:val="15"/>
          <w:b w:val="1"/>
          <w:bCs w:val="1"/>
          <w:color w:val="auto"/>
        </w:rPr>
        <w:t>v</w:t>
      </w:r>
      <w:r>
        <w:rPr>
          <w:rFonts w:ascii="Times New Roman" w:cs="Times New Roman" w:eastAsia="Times New Roman" w:hAnsi="Times New Roman"/>
          <w:sz w:val="21"/>
          <w:szCs w:val="21"/>
          <w:b w:val="1"/>
          <w:bCs w:val="1"/>
          <w:color w:val="auto"/>
        </w:rPr>
        <w: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1"/>
          <w:szCs w:val="11"/>
          <w:b w:val="1"/>
          <w:bCs w:val="1"/>
          <w:color w:val="auto"/>
        </w:rPr>
        <w:t>onvertible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1"/>
          <w:szCs w:val="11"/>
          <w:b w:val="1"/>
          <w:bCs w:val="1"/>
          <w:color w:val="auto"/>
        </w:rPr>
        <w:t>ebenture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Amount: $700,000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Debenture Issuance Date: April 28, 2026</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Debenture Number: SEV-11</w:t>
      </w:r>
    </w:p>
    <w:p>
      <w:pPr>
        <w:spacing w:after="0" w:line="196" w:lineRule="exact"/>
        <w:rPr>
          <w:sz w:val="20"/>
          <w:szCs w:val="20"/>
          <w:color w:val="auto"/>
        </w:rPr>
      </w:pPr>
    </w:p>
    <w:p>
      <w:pPr>
        <w:jc w:val="both"/>
        <w:ind w:firstLine="1272"/>
        <w:spacing w:after="0" w:line="268" w:lineRule="auto"/>
        <w:rPr>
          <w:sz w:val="20"/>
          <w:szCs w:val="20"/>
          <w:color w:val="auto"/>
        </w:rPr>
      </w:pPr>
      <w:r>
        <w:rPr>
          <w:rFonts w:ascii="Times New Roman" w:cs="Times New Roman" w:eastAsia="Times New Roman" w:hAnsi="Times New Roman"/>
          <w:sz w:val="17"/>
          <w:szCs w:val="17"/>
          <w:b w:val="1"/>
          <w:bCs w:val="1"/>
          <w:color w:val="auto"/>
        </w:rPr>
        <w:t>FOR VALUE RECEIVED, SONO GROUP N.V.</w:t>
      </w:r>
      <w:r>
        <w:rPr>
          <w:rFonts w:ascii="Times New Roman" w:cs="Times New Roman" w:eastAsia="Times New Roman" w:hAnsi="Times New Roman"/>
          <w:sz w:val="17"/>
          <w:szCs w:val="17"/>
          <w:color w:val="auto"/>
        </w:rPr>
        <w:t>, a Dutch public limited liability company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hereby promises to pay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order of </w:t>
      </w:r>
      <w:r>
        <w:rPr>
          <w:rFonts w:ascii="Times New Roman" w:cs="Times New Roman" w:eastAsia="Times New Roman" w:hAnsi="Times New Roman"/>
          <w:sz w:val="17"/>
          <w:szCs w:val="17"/>
          <w:b w:val="1"/>
          <w:bCs w:val="1"/>
          <w:color w:val="auto"/>
        </w:rPr>
        <w:t>YA II PN, Ltd.</w:t>
      </w:r>
      <w:r>
        <w:rPr>
          <w:rFonts w:ascii="Times New Roman" w:cs="Times New Roman" w:eastAsia="Times New Roman" w:hAnsi="Times New Roman"/>
          <w:sz w:val="17"/>
          <w:szCs w:val="17"/>
          <w:color w:val="auto"/>
        </w:rPr>
        <w:t>, or its registered 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the amount set out above as the principal amount (as reduced or increased pursuant to the terms hereof pursuant to redemption, conversion or otherwise, the “</w:t>
      </w:r>
      <w:r>
        <w:rPr>
          <w:rFonts w:ascii="Times New Roman" w:cs="Times New Roman" w:eastAsia="Times New Roman" w:hAnsi="Times New Roman"/>
          <w:sz w:val="17"/>
          <w:szCs w:val="17"/>
          <w:u w:val="single" w:color="auto"/>
          <w:color w:val="auto"/>
        </w:rPr>
        <w:t>Principal</w:t>
      </w:r>
      <w:r>
        <w:rPr>
          <w:rFonts w:ascii="Times New Roman" w:cs="Times New Roman" w:eastAsia="Times New Roman" w:hAnsi="Times New Roman"/>
          <w:sz w:val="17"/>
          <w:szCs w:val="17"/>
          <w:color w:val="auto"/>
        </w:rPr>
        <w:t>”) when due, whether upon the Maturity Date (as defined below), acceleration, redemption or otherwise (in each case in accordance with the terms hereof) and to pay interest (“</w:t>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 on any outstanding Principal at the applicable Interest Rate from the date set out above as the Debenture Issuance Date (the “</w:t>
      </w:r>
      <w:r>
        <w:rPr>
          <w:rFonts w:ascii="Times New Roman" w:cs="Times New Roman" w:eastAsia="Times New Roman" w:hAnsi="Times New Roman"/>
          <w:sz w:val="17"/>
          <w:szCs w:val="17"/>
          <w:u w:val="single" w:color="auto"/>
          <w:color w:val="auto"/>
        </w:rPr>
        <w:t>Issuance Date</w:t>
      </w:r>
      <w:r>
        <w:rPr>
          <w:rFonts w:ascii="Times New Roman" w:cs="Times New Roman" w:eastAsia="Times New Roman" w:hAnsi="Times New Roman"/>
          <w:sz w:val="17"/>
          <w:szCs w:val="17"/>
          <w:color w:val="auto"/>
        </w:rPr>
        <w:t>”) until the same becomes due and payable, whether upon the Maturity Date or acceleration, conversion, redemption or otherwise (in each case in accordance with the terms hereof). The term “</w:t>
      </w:r>
      <w:r>
        <w:rPr>
          <w:rFonts w:ascii="Times New Roman" w:cs="Times New Roman" w:eastAsia="Times New Roman" w:hAnsi="Times New Roman"/>
          <w:sz w:val="17"/>
          <w:szCs w:val="17"/>
          <w:u w:val="single" w:color="auto"/>
          <w:color w:val="auto"/>
        </w:rPr>
        <w:t>Debenture</w:t>
      </w:r>
      <w:r>
        <w:rPr>
          <w:rFonts w:ascii="Times New Roman" w:cs="Times New Roman" w:eastAsia="Times New Roman" w:hAnsi="Times New Roman"/>
          <w:sz w:val="17"/>
          <w:szCs w:val="17"/>
          <w:color w:val="auto"/>
        </w:rPr>
        <w:t>” used herein shall mean this convertible debenture and any debenture issued in replacement thereof. Certain capitalized terms used herein are defined in Section 14.</w:t>
      </w:r>
    </w:p>
    <w:p>
      <w:pPr>
        <w:spacing w:after="0" w:line="1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GENERAL TERMS</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1908"/>
        <w:spacing w:after="0" w:line="24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Funding</w:t>
      </w:r>
      <w:r>
        <w:rPr>
          <w:rFonts w:ascii="Times New Roman" w:cs="Times New Roman" w:eastAsia="Times New Roman" w:hAnsi="Times New Roman"/>
          <w:sz w:val="18"/>
          <w:szCs w:val="18"/>
          <w:color w:val="auto"/>
        </w:rPr>
        <w:t>. On the Issuance Date, upon the execution and delivery of this Debenture and the closing statement executed by the Company, the Holder shall pay to the Company the Principal Amount set forth above in immediately available funds to an account designated by the Company in writing in the closing statement, and the Company shall deliver this Debenture to the Holder with a Principal amount equal to the full Principal Amount set forth above, duly executed on behalf of the Company.</w:t>
      </w:r>
    </w:p>
    <w:p>
      <w:pPr>
        <w:spacing w:after="0" w:line="189" w:lineRule="exact"/>
        <w:rPr>
          <w:sz w:val="20"/>
          <w:szCs w:val="20"/>
          <w:color w:val="auto"/>
        </w:rPr>
      </w:pPr>
    </w:p>
    <w:p>
      <w:pPr>
        <w:jc w:val="both"/>
        <w:ind w:firstLine="1914"/>
        <w:spacing w:after="0" w:line="251" w:lineRule="auto"/>
        <w:tabs>
          <w:tab w:leader="none" w:pos="25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On the Maturity Date, the Company shall pay to the Holder an amount in cash representing all outstanding Principal, accrued and unpaid Interest, and any other amounts outstanding pursuant to the terms of this Debenture.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shall be April 28, 2027, as may be extended at the option of the Holder. Other than as specifically permitted by this Debenture, the Company may not prepay or redeem any portion of the outstanding Principal and accrued and unpaid Interest</w:t>
      </w:r>
    </w:p>
    <w:p>
      <w:pPr>
        <w:spacing w:after="0" w:line="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1908"/>
        <w:spacing w:after="0" w:line="24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Interest Rate and Payment of Interest</w:t>
      </w:r>
      <w:r>
        <w:rPr>
          <w:rFonts w:ascii="Times New Roman" w:cs="Times New Roman" w:eastAsia="Times New Roman" w:hAnsi="Times New Roman"/>
          <w:sz w:val="18"/>
          <w:szCs w:val="18"/>
          <w:color w:val="auto"/>
        </w:rPr>
        <w:t>. Interest shall accrue on the outstanding Principal balance hereof at an annual rate equal to 12% (“</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which Interest Rate shall increase to an annual rate of 18% upon an Event of Default for so long as it remains uncured. Interest shall be calculated based on a 365-day year and the actual number of days elapsed, to the extent permitted by applicable law.  </w:t>
      </w:r>
    </w:p>
    <w:p>
      <w:pPr>
        <w:spacing w:after="0" w:line="20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PAYMENTS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RESERVED</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Early Redemption</w:t>
      </w:r>
      <w:r>
        <w:rPr>
          <w:rFonts w:ascii="Times New Roman" w:cs="Times New Roman" w:eastAsia="Times New Roman" w:hAnsi="Times New Roman"/>
          <w:sz w:val="18"/>
          <w:szCs w:val="18"/>
          <w:color w:val="auto"/>
        </w:rPr>
        <w:t>. The Company at its option shall have the right, but not the obligation, to redeem (“</w:t>
      </w:r>
      <w:r>
        <w:rPr>
          <w:rFonts w:ascii="Times New Roman" w:cs="Times New Roman" w:eastAsia="Times New Roman" w:hAnsi="Times New Roman"/>
          <w:sz w:val="18"/>
          <w:szCs w:val="18"/>
          <w:u w:val="single" w:color="auto"/>
          <w:color w:val="auto"/>
        </w:rPr>
        <w:t>Optional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 xml:space="preserve">”) early a portion or all amounts outstanding under this Debenture as described in this Section;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the trading price of the Ordinary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is less than the Fixed Conversion Price and (ii) the Company provides the Holder with at least five (5) Business Days’ prior written notice (each,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of its desire to exercise an Optional Redemption. Each Redemption Notice shall be irrevocable and shall specify the outstanding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of the Convertible Debenture to be redeemed and the applicable Redemption Premium. The “</w:t>
      </w:r>
      <w:r>
        <w:rPr>
          <w:rFonts w:ascii="Times New Roman" w:cs="Times New Roman" w:eastAsia="Times New Roman" w:hAnsi="Times New Roman"/>
          <w:sz w:val="17"/>
          <w:szCs w:val="17"/>
          <w:u w:val="single" w:color="auto"/>
          <w:color w:val="auto"/>
        </w:rPr>
        <w:t>Redemption Amount</w:t>
      </w:r>
      <w:r>
        <w:rPr>
          <w:rFonts w:ascii="Times New Roman" w:cs="Times New Roman" w:eastAsia="Times New Roman" w:hAnsi="Times New Roman"/>
          <w:sz w:val="17"/>
          <w:szCs w:val="17"/>
          <w:color w:val="auto"/>
        </w:rPr>
        <w:t>” shall be equal to the outstanding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balance being redeemed by the Company, plus the applicable Redemption Premium, plus all accrued and unpaid interest. After receipt of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Notice, the Holder shall have five (5) Business Days to elect to convert all or any portion of the Debenture. On the 6th Business Day after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Notice, the Company shall deliver to the Holder the Redemption Amount with respect to the Principal amount redeemed after giving effect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conversions effected during the five (5) Business Day period.</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221615</wp:posOffset>
            </wp:positionV>
            <wp:extent cx="713486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ind w:left="128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EVENTS OF DEFAULT</w:t>
      </w:r>
      <w:r>
        <w:rPr>
          <w:rFonts w:ascii="Times New Roman" w:cs="Times New Roman" w:eastAsia="Times New Roman" w:hAnsi="Times New Roman"/>
          <w:sz w:val="18"/>
          <w:szCs w:val="18"/>
          <w:color w:val="auto"/>
        </w:rPr>
        <w:t>.</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(a)            An “</w:t>
      </w:r>
      <w:r>
        <w:rPr>
          <w:rFonts w:ascii="Times New Roman" w:cs="Times New Roman" w:eastAsia="Times New Roman" w:hAnsi="Times New Roman"/>
          <w:sz w:val="17"/>
          <w:szCs w:val="17"/>
          <w:u w:val="single" w:color="auto"/>
          <w:color w:val="auto"/>
        </w:rPr>
        <w:t>Event of Default</w:t>
      </w:r>
      <w:r>
        <w:rPr>
          <w:rFonts w:ascii="Times New Roman" w:cs="Times New Roman" w:eastAsia="Times New Roman" w:hAnsi="Times New Roman"/>
          <w:sz w:val="17"/>
          <w:szCs w:val="17"/>
          <w:color w:val="auto"/>
        </w:rPr>
        <w:t>”, wherever used herein, means any one of the following events (whatever the reason and whether it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be voluntary or involuntary or effected by operation of law or pursuant to any judgment, decree or order of any court, or any order, rule or regulation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administrative or governmental body):</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firstLine="2544"/>
        <w:spacing w:after="0" w:line="251" w:lineRule="auto"/>
        <w:rPr>
          <w:sz w:val="20"/>
          <w:szCs w:val="20"/>
          <w:color w:val="auto"/>
        </w:rPr>
      </w:pPr>
      <w:r>
        <w:rPr>
          <w:rFonts w:ascii="Times New Roman" w:cs="Times New Roman" w:eastAsia="Times New Roman" w:hAnsi="Times New Roman"/>
          <w:sz w:val="18"/>
          <w:szCs w:val="18"/>
          <w:color w:val="auto"/>
        </w:rPr>
        <w:t>(i)               the Company’s or any Guarantor’s failure to pay to the Holder any amount of Principal, Redemption Premium, Interest, or other amounts when and as due under this Debenture or any other Transaction Document;  </w:t>
      </w:r>
    </w:p>
    <w:p>
      <w:pPr>
        <w:spacing w:after="0" w:line="20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(ii)              The Company, any Subsidiary of the Company, or there shall be commenced against the Company, any Subsidiary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Company under any applicable bankruptcy or insolvency laws as now or hereafter in effect or any successor thereto, or the Company, any Subsidiary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commences any other proceeding under any reorganization, arrangement, adjustment of debt, relief of debtors, dissolution, insolvency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or similar law of any jurisdiction whether now or hereafter in effect relating to the Company, any Subsidiary of the Company and any such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bankruptcy, insolvency or other proceeding which remains undismissed for a period of sixty one (61) days; or the Company, any Subsidiary of the Company is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adjudicated insolvent or bankrupt; or any order of relief or other order approving any such case or proceeding is entered; or the Company, any Subsidiary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suffers any appointment of any custodian, private or court appointed receiver or the like for it or all or substantially all of its property which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continues undischarged or unstayed for a period of sixty one (61) days; or the Company, any Subsidiary of the Company makes a general assignment of all 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substantially all of its assets for the benefit of creditors; or the Company, any Subsidiary of the Company shall fail to pay, or shall state that it is unable to pay,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shall be unable to pay, its debts generally as they become due; or the Company, any Subsidiary of the Company shall call a meeting of its creditors with 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view to arranging a composition, adjustment or restructuring of its debts; or the Company, any Subsidiary of the Company shall by any act or failure to act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expressly indicate its consent to, approval of or acquiescence in any of the foregoing; or any corporate or other action is taken by the Company, any Subsidiary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for the purpose of effecting any of the foregoing;</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(iii)             The Company, any Subsidiary of the Company shall default in any of its obligations under any obligation or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promissory note, mortgage, credit agreement or other facility, indenture agreement, factoring agreement or other instrument under which there may be issued,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by which there may be secured or evidenced any indebtedness for borrowed money or money due under any long term leasing or factoring arrangement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any Subsidiary of the Company in an amount exceeding EUR 200,000, whether such indebtedness now exists or shall hereafter be created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default shall result in such indebtedness becoming or being declared due and payable and such default is not thereafter cured within five (5) Business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firstLine="2544"/>
        <w:spacing w:after="0" w:line="251" w:lineRule="auto"/>
        <w:rPr>
          <w:sz w:val="20"/>
          <w:szCs w:val="20"/>
          <w:color w:val="auto"/>
        </w:rPr>
      </w:pPr>
      <w:r>
        <w:rPr>
          <w:rFonts w:ascii="Times New Roman" w:cs="Times New Roman" w:eastAsia="Times New Roman" w:hAnsi="Times New Roman"/>
          <w:sz w:val="18"/>
          <w:szCs w:val="18"/>
          <w:color w:val="auto"/>
        </w:rPr>
        <w:t>(iv)              The Company, any Subsidiary of the Company shall be a party to any Change of Control Transaction (as defined in Section 14) unless in connection with such Change of Control Transaction this Debenture is retired;   </w:t>
      </w:r>
    </w:p>
    <w:p>
      <w:pPr>
        <w:spacing w:after="0" w:line="20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(v)             The Company’s (A) failure to issue and deliver the required number of Ordinary Shares to the Holder within four</w:t>
      </w:r>
    </w:p>
    <w:p>
      <w:pPr>
        <w:spacing w:after="0" w:line="17" w:lineRule="exact"/>
        <w:rPr>
          <w:sz w:val="20"/>
          <w:szCs w:val="20"/>
          <w:color w:val="auto"/>
        </w:rPr>
      </w:pPr>
    </w:p>
    <w:p>
      <w:pPr>
        <w:jc w:val="both"/>
        <w:ind w:firstLine="6"/>
        <w:spacing w:after="0" w:line="245" w:lineRule="auto"/>
        <w:tabs>
          <w:tab w:leader="none" w:pos="2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applicable Share Delivery Date or (B) notice, written or oral, to any holder of the Debenture, including by way of public announcement, at any time, of its intention not to comply with a request for conversion of the Debenture into Ordinary Shares that is tendered in accordance with the provisions of the Debenture, other than pursuant to Section 4(c);</w:t>
      </w:r>
    </w:p>
    <w:p>
      <w:pPr>
        <w:spacing w:after="0" w:line="2"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221615</wp:posOffset>
            </wp:positionV>
            <wp:extent cx="71348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38" w:name="page39"/>
    <w:bookmarkEnd w:id="38"/>
    <w:p>
      <w:pPr>
        <w:ind w:left="2560"/>
        <w:spacing w:after="0"/>
        <w:rPr>
          <w:sz w:val="20"/>
          <w:szCs w:val="20"/>
          <w:color w:val="auto"/>
        </w:rPr>
      </w:pPr>
      <w:r>
        <w:rPr>
          <w:rFonts w:ascii="Times New Roman" w:cs="Times New Roman" w:eastAsia="Times New Roman" w:hAnsi="Times New Roman"/>
          <w:sz w:val="17"/>
          <w:szCs w:val="17"/>
          <w:color w:val="auto"/>
        </w:rPr>
        <w:t>(vi)            The Company shall fail for any reason to deliver the payment in cash pursuant to a Buy-In (as defined in Section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4(b)(ii) herein) within five Business Days after such payment is due;</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firstLine="2544"/>
        <w:spacing w:after="0" w:line="246" w:lineRule="auto"/>
        <w:rPr>
          <w:sz w:val="20"/>
          <w:szCs w:val="20"/>
          <w:color w:val="auto"/>
        </w:rPr>
      </w:pPr>
      <w:r>
        <w:rPr>
          <w:rFonts w:ascii="Times New Roman" w:cs="Times New Roman" w:eastAsia="Times New Roman" w:hAnsi="Times New Roman"/>
          <w:sz w:val="18"/>
          <w:szCs w:val="18"/>
          <w:color w:val="auto"/>
        </w:rPr>
        <w:t>(vii)           The Company’s failure to timely file with the Commission any Periodic Report on or before the due date of such filing as established by the Commission, it being understood, for the avoidance of doubt, that due date includes any permitted filing deadline extension under Rule 12b-25 under the Exchange Act . For purposes hereof, “</w:t>
      </w:r>
      <w:r>
        <w:rPr>
          <w:rFonts w:ascii="Times New Roman" w:cs="Times New Roman" w:eastAsia="Times New Roman" w:hAnsi="Times New Roman"/>
          <w:sz w:val="18"/>
          <w:szCs w:val="18"/>
          <w:u w:val="single" w:color="auto"/>
          <w:color w:val="auto"/>
        </w:rPr>
        <w:t>Periodic Reports</w:t>
      </w:r>
      <w:r>
        <w:rPr>
          <w:rFonts w:ascii="Times New Roman" w:cs="Times New Roman" w:eastAsia="Times New Roman" w:hAnsi="Times New Roman"/>
          <w:sz w:val="18"/>
          <w:szCs w:val="18"/>
          <w:color w:val="auto"/>
        </w:rPr>
        <w:t xml:space="preserve">” means the Company’s (i) Annual Report on Form 10-K for the fiscal year ending December 31, 2024, (ii) any current report to be filed on Form 8-K, and (iii) all other reports required to be filed by the Company with the Commission under applicable laws and regulations (including, without limitation, Regulation S-K) for so long as any amounts are outstanding under this Debenture;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all such Periodic Reports shall include, when filed, all information, financial statements, audit reports (when applicable) and other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included in such Periodic Reports in compliance with all applicable laws and regulations;  </w:t>
      </w:r>
    </w:p>
    <w:p>
      <w:pPr>
        <w:spacing w:after="0" w:line="211" w:lineRule="exact"/>
        <w:rPr>
          <w:sz w:val="20"/>
          <w:szCs w:val="20"/>
          <w:color w:val="auto"/>
        </w:rPr>
      </w:pPr>
    </w:p>
    <w:p>
      <w:pPr>
        <w:jc w:val="both"/>
        <w:ind w:right="20" w:firstLine="2544"/>
        <w:spacing w:after="0" w:line="248" w:lineRule="auto"/>
        <w:rPr>
          <w:sz w:val="20"/>
          <w:szCs w:val="20"/>
          <w:color w:val="auto"/>
        </w:rPr>
      </w:pPr>
      <w:r>
        <w:rPr>
          <w:rFonts w:ascii="Times New Roman" w:cs="Times New Roman" w:eastAsia="Times New Roman" w:hAnsi="Times New Roman"/>
          <w:sz w:val="18"/>
          <w:szCs w:val="18"/>
          <w:color w:val="auto"/>
        </w:rPr>
        <w:t>(viii)              Any representation or warranty made or deemed made by the Company, any Subsidiary of the Company in any Transaction Document shall prove to have been incorrect in any material respect (or, in the case of any such representation or warranty already qualified by materiality, such representation or warranty shall prove to have been incorrect) when made or deemed made;  </w:t>
      </w:r>
    </w:p>
    <w:p>
      <w:pPr>
        <w:spacing w:after="0" w:line="20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(ix)               Any material provision of any Transaction Document, at any time after its execution and delivery and for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reason other than as expressly permitted hereunder or thereunder or satisfaction in full of all Obligations, ceases to be in full force and effect; or the Company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any other Person contests in writing the validity or enforceability of any provision of any Transaction Document; or the Company or any Guarantor denies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writing that it has any or further liability or obligation under any Transaction Document, or purports in writing to revoke, terminate (other than in line with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relevant termination provisions) or rescind any Transaction Document;</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2544"/>
        <w:spacing w:after="0" w:line="248" w:lineRule="auto"/>
        <w:rPr>
          <w:sz w:val="20"/>
          <w:szCs w:val="20"/>
          <w:color w:val="auto"/>
        </w:rPr>
      </w:pPr>
      <w:r>
        <w:rPr>
          <w:rFonts w:ascii="Times New Roman" w:cs="Times New Roman" w:eastAsia="Times New Roman" w:hAnsi="Times New Roman"/>
          <w:sz w:val="18"/>
          <w:szCs w:val="18"/>
          <w:color w:val="auto"/>
        </w:rPr>
        <w:t>(x)             The Company shall fail to observe or perform any material covenant, agreement or warranty contained in, or otherwise commit any material breach or default of any provision of this Debenture (except as may be covered by Section (3)(a)(i) through (3)(a)(ix) hereof) or any other Transaction Document (as defined in Section 14) which is not cured or remedied within the time prescribed (if any);</w:t>
      </w:r>
    </w:p>
    <w:p>
      <w:pPr>
        <w:spacing w:after="0" w:line="187" w:lineRule="exact"/>
        <w:rPr>
          <w:sz w:val="20"/>
          <w:szCs w:val="20"/>
          <w:color w:val="auto"/>
        </w:rPr>
      </w:pPr>
    </w:p>
    <w:p>
      <w:pPr>
        <w:jc w:val="both"/>
        <w:ind w:firstLine="2550"/>
        <w:spacing w:after="0" w:line="259" w:lineRule="auto"/>
        <w:tabs>
          <w:tab w:leader="none" w:pos="342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(as defined in the Other Debentures or in any Transaction Document other than this Debenture) occurs respect to any Other Debentures held by the Holder or any breach of any material term of any other debenture, note, or instrument held by the Holder in the Company or any agreement between or among the Company and the Holder; or</w:t>
      </w:r>
    </w:p>
    <w:p>
      <w:pPr>
        <w:spacing w:after="0" w:line="177" w:lineRule="exact"/>
        <w:rPr>
          <w:rFonts w:ascii="Times New Roman" w:cs="Times New Roman" w:eastAsia="Times New Roman" w:hAnsi="Times New Roman"/>
          <w:sz w:val="18"/>
          <w:szCs w:val="18"/>
          <w:color w:val="auto"/>
        </w:rPr>
      </w:pPr>
    </w:p>
    <w:p>
      <w:pPr>
        <w:ind w:left="3260" w:hanging="710"/>
        <w:spacing w:after="0"/>
        <w:tabs>
          <w:tab w:leader="none" w:pos="3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(b)           During the time that any portion of this Debenture is outstanding, if any Event of Default has occurred and has not been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cured within the applicable cure period, if any, (other than an event with respect to the Company described in Section 3(a)(ii)) the full unpaid Principal amount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this Debenture, together with interest and other amounts owing in respect thereof and other Obligations accrued hereunder and under any other Transaction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to the date of acceleration shall become at the Holder's election given by notice pursuant to Section 7, immediately due and payable in cash;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case of any event with respect to the Company described in Section 3(a)(ii), the full unpaid Principal amount of this Debenture, together with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other amounts owing in respect thereof and other Obligations accrued hereunder and under any other Transaction Document, to the date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acceleration, shall automatically become due and payable, in each case without presentment, demand, protest or other notice of any kind, all of which are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waived by the Company. Furthermore, in addition to any other remedies, the Holder shall have the right (but not the obligation) to convert, at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Rate, on one or more occasions all or part of the Conversion Amount in accordance with Section 4 hereof (subject to the beneficial ownership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limitations set out in Section (4)(c)) at any time after (x) an Event of Default (provided that such Event of Default is continuing) or (y) the Maturity Date.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need not provide, and the Company hereby waives, any presentment, demand, protest or other notice of any kind (other than required notice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and the Holder may immediately enforce any and all of its rights and remedies hereunder and all other remedies available to it under applicable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law. Such declaration may be rescinded and annulled by the Holder in writing at any time prior to payment hereunder. No such rescission or annulment shall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 any subsequent Event of Default or impair any right consequent thereon.</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221615</wp:posOffset>
            </wp:positionV>
            <wp:extent cx="713486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CONVERSION OF DEBENTURE</w:t>
      </w:r>
      <w:r>
        <w:rPr>
          <w:rFonts w:ascii="Times New Roman" w:cs="Times New Roman" w:eastAsia="Times New Roman" w:hAnsi="Times New Roman"/>
          <w:sz w:val="18"/>
          <w:szCs w:val="18"/>
          <w:color w:val="auto"/>
        </w:rPr>
        <w:t>. This Debenture shall be convertible into Ordinary Shares, on the terms and conditions set forth in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4.</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1908"/>
        <w:spacing w:after="0" w:line="24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Conversion Right</w:t>
      </w:r>
      <w:r>
        <w:rPr>
          <w:rFonts w:ascii="Times New Roman" w:cs="Times New Roman" w:eastAsia="Times New Roman" w:hAnsi="Times New Roman"/>
          <w:sz w:val="18"/>
          <w:szCs w:val="18"/>
          <w:color w:val="auto"/>
        </w:rPr>
        <w:t>. Subject to the limitations of Section (4)(c), at any time or times on or after the Issuance Date, the Holder shall be entitled to convert any portion of the outstanding and unpaid Conversion Amount (as defined below) into fully paid and non-assessable (meaning that the holders of the Ordinary Shares will not by reason of merely being such a holder, be subject to assessment or calls by the Company or its creditors for further payment on such Ordinary Shares) Ordinary Shares in accordance with Section (4)(b), at the Conversion Rate (as defined below). The number of Ordinary Shares issuable upon conversion of any Conversion Amount pursuant to this Section (4)(a) shall be determined by dividing (x) such Conversion Amount by (y) the Conversion Price (the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The Company shall not issue any fraction of an Ordinary Share upon any conversion. If the issuance would result in the issuance of a fraction of an Ordinary Share, the Company shall round such fraction of an Ordinary Share up to the nearest whole share. The Company shall pay any and all issuance tax, stamp duties and similar documentary taxes that may be payable with respect to the issuance and delivery of Ordinary Shares upon conversion of any Conversion Amount.</w:t>
      </w:r>
    </w:p>
    <w:p>
      <w:pPr>
        <w:spacing w:after="0" w:line="19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u w:val="single" w:color="auto"/>
          <w:color w:val="auto"/>
        </w:rPr>
        <w:t>Conversion Amount</w:t>
      </w:r>
      <w:r>
        <w:rPr>
          <w:rFonts w:ascii="Times New Roman" w:cs="Times New Roman" w:eastAsia="Times New Roman" w:hAnsi="Times New Roman"/>
          <w:sz w:val="18"/>
          <w:szCs w:val="18"/>
          <w:color w:val="auto"/>
        </w:rPr>
        <w:t>” means the portion of the Principal and/or accrued Interest to be converted, redeemed or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with respect to which this determination is being made.</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firstLine="2544"/>
        <w:spacing w:after="0" w:line="24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means, as of any Conversion Date (as defined below) or other date of determination the lower of (i) a price per Ordinary Share equal to USD 18.75 (the “</w:t>
      </w:r>
      <w:r>
        <w:rPr>
          <w:rFonts w:ascii="Times New Roman" w:cs="Times New Roman" w:eastAsia="Times New Roman" w:hAnsi="Times New Roman"/>
          <w:sz w:val="18"/>
          <w:szCs w:val="18"/>
          <w:u w:val="single" w:color="auto"/>
          <w:color w:val="auto"/>
        </w:rPr>
        <w:t>Fixed Conversion Price</w:t>
      </w:r>
      <w:r>
        <w:rPr>
          <w:rFonts w:ascii="Times New Roman" w:cs="Times New Roman" w:eastAsia="Times New Roman" w:hAnsi="Times New Roman"/>
          <w:sz w:val="18"/>
          <w:szCs w:val="18"/>
          <w:color w:val="auto"/>
        </w:rPr>
        <w:t>”), or (ii) 85% of the lowest daily VWAP of the Ordinary Shares during the seven (7) consecutive Trading Days immediately preceding the Conversion Date or other date of determination (the “</w:t>
      </w:r>
      <w:r>
        <w:rPr>
          <w:rFonts w:ascii="Times New Roman" w:cs="Times New Roman" w:eastAsia="Times New Roman" w:hAnsi="Times New Roman"/>
          <w:sz w:val="18"/>
          <w:szCs w:val="18"/>
          <w:u w:val="single" w:color="auto"/>
          <w:color w:val="auto"/>
        </w:rPr>
        <w:t>Variable Conversion Price</w:t>
      </w:r>
      <w:r>
        <w:rPr>
          <w:rFonts w:ascii="Times New Roman" w:cs="Times New Roman" w:eastAsia="Times New Roman" w:hAnsi="Times New Roman"/>
          <w:sz w:val="18"/>
          <w:szCs w:val="18"/>
          <w:color w:val="auto"/>
        </w:rPr>
        <w:t>”), provided that the Variable Conversion Price shall not be lower than the Floor Price then in effect; provided, further, that under no circumstances, will the Conversion Price per Ordinary Share be less than the nominal value of one Ordinary Share (translated into USD on the applicable Share Delivery Date (as defined below)). The Conversion Price shall be adjusted from time to time pursuant to the other terms and conditions of this Debenture.  </w:t>
      </w:r>
    </w:p>
    <w:p>
      <w:pPr>
        <w:spacing w:after="0" w:line="21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Mechanics of Conversion</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firstLine="2544"/>
        <w:spacing w:after="0" w:line="24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To convert any Conversion Amount into Ordinary Shares on any date (a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xml:space="preserve">”), the Holder shall (A) transmit by email (or otherwise deliver), for receipt on or prior to 11:59 p.m., New York Time, on such date, a copy of an executed notice of conversion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to the Company and (B) if required by Section (4)(b)(iii), surrender this Debenture to a nationally recognized overnight delivery service for delivery to the Company (or an indemnification undertaking reasonably satisfactory to the Company with respect to this Debenture in the case of its loss, theft or destruction). On or before the third (3rd) Trading Day following the date of receipt of a Conversion Notice (the “</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the Company shall (X) if legends are not required to be placed on certificates of Ordinary Shares and provided that the Transfer Agent is participating in the Depository Trust Company's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Fast Automated Securities Transfer Program, credit such aggregate number of Ordinary Shares to which the Holder shall be entitled to the Holder's or its designee's balance account with DTC through its Deposit Withdrawal Agent Commission system or (Y) if the Transfer Agent is not participating in the DTC Fast Automated Securities Transfer Program, issue and deliver to the address as specified in the Conversion Notice, a certificate, registered Ordinary Shares in the name of the Holder or its designee, for the number of Ordinary Shares to which the Holder shall be entitled which certificates shall not bear any restrictive legends unless required pursuant to rules and regulations of the Commission. If this Debenture is physically surrendered for conversion and the outstanding Principal of this Debenture is greater than the Principal portion of the Conversion Amount being converted, then the Company shall as soon as practicable and in no event later than three (3) Business Days after receipt of this Debenture and at its own expense, issue and deliver to the holder a new Debenture representing the outstanding Principal not converted. The Person or Persons entitled to receive the Ordinary Shares issuable upon a conversion of this Debenture shall be treated for all purposes as the record holder or holders of such Ordinary Shares upon the transmission of a Conversion Notice. In connection with any conversion of a Conversion Amount into Ordinary Shares on a Conversion Date, the Company shall, on the relevant Share Delivery Date, set off (</w:t>
      </w:r>
      <w:r>
        <w:rPr>
          <w:rFonts w:ascii="Times New Roman" w:cs="Times New Roman" w:eastAsia="Times New Roman" w:hAnsi="Times New Roman"/>
          <w:sz w:val="18"/>
          <w:szCs w:val="18"/>
          <w:i w:val="1"/>
          <w:iCs w:val="1"/>
          <w:color w:val="auto"/>
        </w:rPr>
        <w:t>verrekenen</w:t>
      </w:r>
      <w:r>
        <w:rPr>
          <w:rFonts w:ascii="Times New Roman" w:cs="Times New Roman" w:eastAsia="Times New Roman" w:hAnsi="Times New Roman"/>
          <w:sz w:val="18"/>
          <w:szCs w:val="18"/>
          <w:color w:val="auto"/>
        </w:rPr>
        <w:t>) its debt under the relevant Debenture(s) to pay such Conversion Amount against its receivable from the Holder to pay up in full, and satisfy the issue price, for the relevant Ordinary Shares issuable upon such conversion (and, for that purpose, such issue price shall be the same amount as the Conversion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215900</wp:posOffset>
            </wp:positionV>
            <wp:extent cx="71348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0" w:name="page41"/>
    <w:bookmarkEnd w:id="40"/>
    <w:p>
      <w:pPr>
        <w:ind w:firstLine="2544"/>
        <w:spacing w:after="0" w:line="248"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Company's Failure to Timely Convert</w:t>
      </w:r>
      <w:r>
        <w:rPr>
          <w:rFonts w:ascii="Times New Roman" w:cs="Times New Roman" w:eastAsia="Times New Roman" w:hAnsi="Times New Roman"/>
          <w:sz w:val="18"/>
          <w:szCs w:val="18"/>
          <w:color w:val="auto"/>
        </w:rPr>
        <w:t>. If within three (3) Trading Days after the Company's receipt of an email copy of a Conversion Notice the Company shall fail to issue and deliver a certificate to the Holder or credit the Holder's balance account with DTC for the number of Ordinary Shares to which the Holder is entitled upon its conversion of any Conversion Amount, and if on or after such Trading Day the Holder purchases (in an open market transaction or otherwise) Ordinary Shares to deliver in satisfaction of a sale by the Holder of Ordinary Shares issuable upon such conversion that the Holder anticipated receiving from the Company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within three (3) Business Days after the Holder's request and in the Holder's discretion, either (i) pay cash to the Holder in an amount equal to the Holder's total purchase price (including brokerage commissions and other out of pocket expenses, if any) for the Ordinary Shares so purchased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at which point the Company's obligation to deliver such certificate (and to issue such Ordinary Shares) shall terminate, or (ii) promptly honor its obligation to deliver to the Holder a certificate or certificates representing such Ordinary Shares and pay cash to the Holder in an amount equal to the excess (if any) of the Buy-In Price over the product of (A) such number of Ordinary Shares, times (B) the Closing Price on the Conversion Date.  </w:t>
      </w:r>
    </w:p>
    <w:p>
      <w:pPr>
        <w:spacing w:after="0" w:line="213" w:lineRule="exact"/>
        <w:rPr>
          <w:sz w:val="20"/>
          <w:szCs w:val="20"/>
          <w:color w:val="auto"/>
        </w:rPr>
      </w:pPr>
    </w:p>
    <w:p>
      <w:pPr>
        <w:ind w:firstLine="2544"/>
        <w:spacing w:after="0" w:line="246"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Notwithstanding anything to the contrary set forth herein, upon conversion of any portion of this Debenture in accordance with the terms hereof, the Holder shall not be required to physically surrender this Debenture to the Company unless (A) the full Conversion Amount represented by this Debenture is being converted or (B) the Holder has provided the Company with prior written notice (which notice may be included in a Conversion Notice) requesting reissuance of this Debenture upon physical surrender of this Debenture. The Holder and the Company shall maintain records showing the Principal and Interest converted and the dates of such conversions or shall use such other method, reasonably satisfactory to the Holder and the Company, so as not to require physical surrender of this Debenture upon conversion.  </w:t>
      </w:r>
    </w:p>
    <w:p>
      <w:pPr>
        <w:spacing w:after="0" w:line="21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Limitations on Conversions</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2544"/>
        <w:spacing w:after="0" w:line="261" w:lineRule="auto"/>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The Holder shall not have the right to convert any portion of this Debenture or receive Ordinary Shares hereunder to the extent that after giving effect to such conversion or receipt of such Ordinary Shares, the Holder, together with any affiliate thereof, would beneficially own (as determined in accordance with Section 13(d) of the Exchange Act and the rules promulgated thereunder) in excess of 4.99% of the number of Ordinary Shares outstanding immediately after giving effect to such conversion or receipt of shares as payment of interest. Since the Holder will not be obligated to report to the Company the number of Ordinary Shares it may hold at the time of a conversion hereunder, unless the conversion at issue would result in the issuance of Ordinary Shares in excess of 4.99% of the then outstanding Ordinary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Debenture is convertible shall be the responsibility and obligation of the Holder. If the Holder has delivered a Conversion Notice for a Principal amount of this Debenture that, without regard to any other shares that the Holder or its affiliates may beneficially own, would result in the issuance in excess of the permitted amount hereunder, the Company shall notify the Holder of this fact and shall honor the conversion for the maximum Principal amount permitted to be converted on such Conversion Date in accordance with Section (4)(a) and, any Principal amount tendered for conversion in excess of the permitted amount hereunder shall remain outstanding under this Debenture. The provisions of this Section may be waived by the Holder upon not less than 65 days prior notice to the Company.</w:t>
      </w:r>
    </w:p>
    <w:p>
      <w:pPr>
        <w:spacing w:after="0" w:line="184" w:lineRule="exact"/>
        <w:rPr>
          <w:sz w:val="20"/>
          <w:szCs w:val="20"/>
          <w:color w:val="auto"/>
        </w:rPr>
      </w:pPr>
    </w:p>
    <w:p>
      <w:pPr>
        <w:jc w:val="both"/>
        <w:ind w:firstLine="2550"/>
        <w:spacing w:after="0" w:line="248" w:lineRule="auto"/>
        <w:tabs>
          <w:tab w:leader="none" w:pos="32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Rules of Principal Market</w:t>
      </w:r>
      <w:r>
        <w:rPr>
          <w:rFonts w:ascii="Times New Roman" w:cs="Times New Roman" w:eastAsia="Times New Roman" w:hAnsi="Times New Roman"/>
          <w:sz w:val="18"/>
          <w:szCs w:val="18"/>
          <w:color w:val="auto"/>
        </w:rPr>
        <w:t>. Notwithstanding anything to the contrary herein, the Company shall not issue any Ordinary Shares under this Debenture to the extent (but only to the extent) that after giving effect to such issuance the aggregate number of Ordinary Shares issued under this Debenture would exceed 19.99% of the aggregate number of Ordinary Shares issued and outstanding as of the Issuance Date of this Debenture, which number shall be reduced, on a share-for-share basis, by the number of Ordinary Shares issued or issuable pursuant to any transaction or series of transactions that may be aggregated with the transactions contemplated by this Note under the applicable rules of the rules or regulations of the Nasdaq Stock Market LLC (the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(such maximum number of shares, the “</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unless the Company’s stockholders have approved the issuance of Common Shares pursuant to this Note in excess of the Exchange Cap, or the Company is exempt from such requirements, in accordance with the applicable rules of the Nasdaq.</w:t>
      </w:r>
    </w:p>
    <w:p>
      <w:pPr>
        <w:spacing w:after="0" w:line="4"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221615</wp:posOffset>
            </wp:positionV>
            <wp:extent cx="71348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1" w:name="page42"/>
    <w:bookmarkEnd w:id="41"/>
    <w:p>
      <w:pPr>
        <w:ind w:left="192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(i)                All calculations under this Section (4) shall be rounded to the nearest $0.0001 or whole share.</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firstLine="2544"/>
        <w:spacing w:after="0" w:line="245" w:lineRule="auto"/>
        <w:rPr>
          <w:sz w:val="20"/>
          <w:szCs w:val="20"/>
          <w:color w:val="auto"/>
        </w:rPr>
      </w:pPr>
      <w:r>
        <w:rPr>
          <w:rFonts w:ascii="Times New Roman" w:cs="Times New Roman" w:eastAsia="Times New Roman" w:hAnsi="Times New Roman"/>
          <w:sz w:val="18"/>
          <w:szCs w:val="18"/>
          <w:color w:val="auto"/>
        </w:rPr>
        <w:t>(ii)              The Company covenants that the number of Ordinary Shares comprised in the Company's authorized share capital but unissued and not otherwise reserved for issuance (including (i) in relation to equity or debt securities convertible into or exchangeable or exercisable for or that can be settled in Ordinary Shares (other than the Debenture and the Other Debentures) and (ii) Ordinary Shares remaining available for issuance under the Company's equity incentive plans) shall be not less than the maximum number of Ordinary Shares issuable upon conversion of this Debenture and the Other Debentures (assuming for purposes hereof that (x) each debenture is convertible at the Floor Price stated therein as of the date of determination, (y) any such conversion shall not take into account any limitations on the conversion of each debenture set forth herein, including the Floor Price (the “</w:t>
      </w:r>
      <w:r>
        <w:rPr>
          <w:rFonts w:ascii="Times New Roman" w:cs="Times New Roman" w:eastAsia="Times New Roman" w:hAnsi="Times New Roman"/>
          <w:sz w:val="18"/>
          <w:szCs w:val="18"/>
          <w:u w:val="single" w:color="auto"/>
          <w:color w:val="auto"/>
        </w:rPr>
        <w:t>Required Reserve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provided that at no time shall the number of Ordinary Shares reserved pursuant to this section 4(d)(ii) be reduced other than proportionally with respect to all Ordinary Shares in connection with any conversion (other than pursuant to the conversion of this Debenture and the Other Debentures in accordance with their terms) and/or cancellation, or reverse stock split. If at any time the number of Ordinary Shares reserved pursuant to this section 4(d)(ii) becomes less than the Required Reserve Amount, the Company will promptly take all corporate action necessary to propose to its general meeting of shareholders an increase of its authorized share capital necessary to meet the Company's obligations pursuant to this Debenture, recommending that shareholders vote in favor of such an increase. The Company covenants that, upon issuance in accordance with conversion of this Debenture in accordance with its terms, the Ordinary Shares, when issued, will be validly issued, fully paid and non-assessable (meaning that the holders of the Ordinary Shares will not by reason of merely being such a holder, be subject to assessment or calls by the Company or its creditors for further payment on such Ordinary Shares).  </w:t>
      </w:r>
    </w:p>
    <w:p>
      <w:pPr>
        <w:spacing w:after="0" w:line="11" w:lineRule="exact"/>
        <w:rPr>
          <w:sz w:val="20"/>
          <w:szCs w:val="20"/>
          <w:color w:val="auto"/>
        </w:rPr>
      </w:pPr>
    </w:p>
    <w:p>
      <w:pPr>
        <w:ind w:firstLine="2544"/>
        <w:spacing w:after="0" w:line="247" w:lineRule="auto"/>
        <w:rPr>
          <w:sz w:val="20"/>
          <w:szCs w:val="20"/>
          <w:color w:val="auto"/>
        </w:rPr>
      </w:pPr>
      <w:r>
        <w:rPr>
          <w:rFonts w:ascii="Times New Roman" w:cs="Times New Roman" w:eastAsia="Times New Roman" w:hAnsi="Times New Roman"/>
          <w:sz w:val="18"/>
          <w:szCs w:val="18"/>
          <w:color w:val="auto"/>
        </w:rPr>
        <w:t>(iii)              Nothing herein shall limit the Holder's right to pursue actual damages or declare an Event of Default pursuant to Section (3) herein for the Company’s failure to deliver certificates representing Ordinary Shares upon conversion within the period specified herein and the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  </w:t>
      </w:r>
    </w:p>
    <w:p>
      <w:pPr>
        <w:spacing w:after="0" w:line="20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 xml:space="preserve">(iv)             </w:t>
      </w:r>
      <w:r>
        <w:rPr>
          <w:rFonts w:ascii="Times New Roman" w:cs="Times New Roman" w:eastAsia="Times New Roman" w:hAnsi="Times New Roman"/>
          <w:sz w:val="17"/>
          <w:szCs w:val="17"/>
          <w:u w:val="single" w:color="auto"/>
          <w:color w:val="auto"/>
        </w:rPr>
        <w:t>Legal Opinions</w:t>
      </w:r>
      <w:r>
        <w:rPr>
          <w:rFonts w:ascii="Times New Roman" w:cs="Times New Roman" w:eastAsia="Times New Roman" w:hAnsi="Times New Roman"/>
          <w:sz w:val="17"/>
          <w:szCs w:val="17"/>
          <w:color w:val="auto"/>
        </w:rPr>
        <w:t>. The Company is obligated to cause its legal counsel to deliver legal opinions to the Company’s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agent or registrar, as may be required in connection with any legend removal upon the expiration of any holding period or other requirement for which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Underlying Shares may bear legends restricting the transfer thereof.</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Adjustment of Conversion Price upon Subdivision or Combination of Ordinary Shares</w:t>
      </w:r>
      <w:r>
        <w:rPr>
          <w:rFonts w:ascii="Times New Roman" w:cs="Times New Roman" w:eastAsia="Times New Roman" w:hAnsi="Times New Roman"/>
          <w:sz w:val="17"/>
          <w:szCs w:val="17"/>
          <w:color w:val="auto"/>
        </w:rPr>
        <w:t>. If the Company, at any time while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Debenture is outstanding, shall (a) pay a stock dividend or otherwise make a distribution or distributions on its Ordinary Shares or any other equity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equity equivalent securities payable in Ordinary Shares, (b) subdivide outstanding Ordinary Shares into a larger number of shares, (c) combine (including by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way of reverse stock split) outstanding Ordinary Shares into a smaller number of shares, or (d) issue by reclassification of shares of the Ordinary Shares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capital stock of the Company, then each of the Fixed Conversion Price and the Floor Price shall be multiplied by a fraction of which the numerator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be the number of Ordinary Shares (excluding treasury shares, if any) outstanding before such event and of which the denominator shall be the number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Ordinary Shares outstanding after such event. Any adjustment made pursuant to this Section shall become effective immediately after the record date for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determination of stockholders entitled to receive such dividend or distribution and shall become effective immediately after the effective date in the case of 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subdivision, combination or re-classification.</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Other Corporate Events</w:t>
      </w:r>
      <w:r>
        <w:rPr>
          <w:rFonts w:ascii="Times New Roman" w:cs="Times New Roman" w:eastAsia="Times New Roman" w:hAnsi="Times New Roman"/>
          <w:sz w:val="17"/>
          <w:szCs w:val="17"/>
          <w:color w:val="auto"/>
        </w:rPr>
        <w:t>. In addition to and not in substitution for any other rights hereunder, prior to the consummation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Fundamental Transaction pursuant to which holders of Ordinary Shares are entitled to receive securities or other assets with respect to or in exchange for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Ordinary Shares (a “</w:t>
      </w:r>
      <w:r>
        <w:rPr>
          <w:rFonts w:ascii="Times New Roman" w:cs="Times New Roman" w:eastAsia="Times New Roman" w:hAnsi="Times New Roman"/>
          <w:sz w:val="17"/>
          <w:szCs w:val="17"/>
          <w:u w:val="single" w:color="auto"/>
          <w:color w:val="auto"/>
        </w:rPr>
        <w:t>Corporate Event</w:t>
      </w:r>
      <w:r>
        <w:rPr>
          <w:rFonts w:ascii="Times New Roman" w:cs="Times New Roman" w:eastAsia="Times New Roman" w:hAnsi="Times New Roman"/>
          <w:sz w:val="17"/>
          <w:szCs w:val="17"/>
          <w:color w:val="auto"/>
        </w:rPr>
        <w:t>”), the Company shall make appropriate provision to ensure that the Holder will thereafter have the right to receive upon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conversion of this Debenture, at the Holder's option, (i) in addition to the Ordinary Shares receivable upon such conversion, such securities or other assets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the Holder would have been entitled with respect to such Ordinary Shares had such Ordinary Shares been held by the Holder upon the consummation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Corporate Event (without taking into account any limitations or restrictions on the convertibility of this Debenture) or (ii) in lieu of the Ordinary Shares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otherwise receivable upon such conversion, such securities or other assets received by the holders of Ordinary Shares in connection with the consummation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Corporate Event in such amounts as the Holder would have been entitled to receive had this Debenture initially been issued with conversion rights for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such consideration (as opposed to Ordinary Shares) at a conversion rate for such consideration commensurate with the Conversion Rate. Provision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pursuant to the preceding sentence shall be in a form and substance satisfactory to the Holder. The provisions of this Section shall apply similarly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equally to successive Corporate Events and shall be applied without regard to any limitations on the conversion or redemption of this Debenture.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the Company shall have the right to pay in cash the Principal amount of this Debenture, together with interest and other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amounts owing in respect thereof, immediately prior to the consummation of the Fundamental Transaction in accordance with the early redemption provisions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in Section 2(b).</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221615</wp:posOffset>
            </wp:positionV>
            <wp:extent cx="713486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2" w:name="page43"/>
    <w:bookmarkEnd w:id="42"/>
    <w:p>
      <w:pPr>
        <w:ind w:firstLine="1908"/>
        <w:spacing w:after="0" w:line="253" w:lineRule="auto"/>
        <w:rPr>
          <w:sz w:val="20"/>
          <w:szCs w:val="20"/>
          <w:color w:val="auto"/>
        </w:rPr>
      </w:pPr>
      <w:r>
        <w:rPr>
          <w:rFonts w:ascii="Times New Roman" w:cs="Times New Roman" w:eastAsia="Times New Roman" w:hAnsi="Times New Roman"/>
          <w:sz w:val="18"/>
          <w:szCs w:val="18"/>
          <w:color w:val="auto"/>
        </w:rPr>
        <w:t>(g)            Whenever the Conversion Price is adjusted pursuant to Section 4 hereof, the Company shall promptly provide the Holder with a written notice setting forth the Conversion Price after such adjustment and setting forth a brief statement of the facts requiring such adjustment.  </w:t>
      </w:r>
    </w:p>
    <w:p>
      <w:pPr>
        <w:spacing w:after="0" w:line="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(h)            In case of any (1) merger or consolidation of the Company or any Subsidiary of the Company with or into another Person, or</w:t>
      </w:r>
    </w:p>
    <w:p>
      <w:pPr>
        <w:spacing w:after="0" w:line="17" w:lineRule="exact"/>
        <w:rPr>
          <w:sz w:val="20"/>
          <w:szCs w:val="20"/>
          <w:color w:val="auto"/>
        </w:rPr>
      </w:pPr>
    </w:p>
    <w:p>
      <w:pPr>
        <w:jc w:val="both"/>
        <w:ind w:firstLine="6"/>
        <w:spacing w:after="0" w:line="245" w:lineRule="auto"/>
        <w:tabs>
          <w:tab w:leader="none" w:pos="2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by the Company or any Subsidiary of the Company of more than one-half of the assets of the Company in one or a series of related transactions, the Holder shall have the right to (A) exercise any rights under Section (3)(b), (B) convert the aggregate amount of this Debenture then outstanding into the shares of stock and other securities, cash and property receivable upon or deemed to be held by holders of Ordinary Shares following such merger, consolidation or sale, and the Holder shall be entitled upon such event or series of related events to receive such amount of securities, cash and property as the Ordinary Shares into which such aggregate outstanding amount of this Debenture could have been converted immediately prior to such merger, consolidation or sales, would have been entitled to receive, or (C) in the case of a merger or consolidation, require the surviving entity to issue to the Holder a convertible Debenture with a Principal amount equal to the aggregate Principal amount of this Debenture then held by the Holder, plus all accrued and unpaid interest and other amounts owing thereon, which such newly issued convertible Debenture shall have terms identical (including with respect to conversion) to the terms of this Debenture, and shall be entitled to all of the rights and privileges of the Holder of this Debenture set forth herein and the agreements pursuant to which this Debenture was issued. In the case of clause (C), the conversion price applicable for the newly issued shares of convertible preferred stock or convertible debentures shall be based upon the amount of securities, cash and property that each share of Ordinary Shares would receive in such transaction and the Conversion Price in effect immediately prior to the effectiveness or closing date for such transaction.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5"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REISSUANCE OF THIS DEBENTURE</w:t>
      </w:r>
      <w:r>
        <w:rPr>
          <w:rFonts w:ascii="Times New Roman" w:cs="Times New Roman" w:eastAsia="Times New Roman" w:hAnsi="Times New Roman"/>
          <w:sz w:val="18"/>
          <w:szCs w:val="18"/>
          <w:color w:val="auto"/>
        </w:rPr>
        <w:t>.</w:t>
      </w:r>
    </w:p>
    <w:p>
      <w:pPr>
        <w:spacing w:after="0" w:line="5"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Transfer</w:t>
      </w:r>
      <w:r>
        <w:rPr>
          <w:rFonts w:ascii="Times New Roman" w:cs="Times New Roman" w:eastAsia="Times New Roman" w:hAnsi="Times New Roman"/>
          <w:sz w:val="17"/>
          <w:szCs w:val="17"/>
          <w:color w:val="auto"/>
        </w:rPr>
        <w:t>. If this Debenture is to be transferred, the Holder shall surrender this Debenture to the Company, whereupon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will forthwith issue and deliver upon the order of the Holder a new Debenture (in accordance with Section (7)(d)), registered in the name of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 transferee or assignee, representing the outstanding Principal being transferred by the Holder (along with any accrued and unpaid interest thereof)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less than the entire outstanding Principal is being transferred, a new Debenture (in accordance with Section (7)(d)) to the Holder representing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Principal not being transferred. The Holder and any assignee, by acceptance of this Debenture, acknowledge and agree that, by reason of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provisions of Section (4)(b)(iii) following conversion or redemption of any portion of this Debenture, the outstanding Principal represented by this Debenture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less than the Principal stated on the face of this Debenture.</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firstLine="1908"/>
        <w:spacing w:after="0" w:line="24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Lost, Stolen or Mutilated Debenture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Debenture, and, in the case of loss, theft or destruction, of any indemnification undertaking by the Holder to the Company in customary form and, in the case of mutilation, upon surrender and cancellation of this Debenture, the Company shall execute and deliver to the Holder a new Debenture (in accordance with Section (5)(d)) representing the outstanding Principal.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349885</wp:posOffset>
            </wp:positionV>
            <wp:extent cx="71348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3" w:name="page44"/>
    <w:bookmarkEnd w:id="43"/>
    <w:p>
      <w:pPr>
        <w:ind w:left="192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Debenture Exchangeable for Different Denominations</w:t>
      </w:r>
      <w:r>
        <w:rPr>
          <w:rFonts w:ascii="Times New Roman" w:cs="Times New Roman" w:eastAsia="Times New Roman" w:hAnsi="Times New Roman"/>
          <w:sz w:val="17"/>
          <w:szCs w:val="17"/>
          <w:color w:val="auto"/>
        </w:rPr>
        <w:t>. This Debenture is exchangeable, upon the surrender hereof by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at the principal office of the Company, for a new Debenture or Debentures (in accordance with Section (5)(d)) representing in the aggregate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Principal of this Debenture, and each such new Debenture will represent such portion of such outstanding Principal as is designated by the Holder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time of such surrender.</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Issuance of New Debentures</w:t>
      </w:r>
      <w:r>
        <w:rPr>
          <w:rFonts w:ascii="Times New Roman" w:cs="Times New Roman" w:eastAsia="Times New Roman" w:hAnsi="Times New Roman"/>
          <w:sz w:val="18"/>
          <w:szCs w:val="18"/>
          <w:color w:val="auto"/>
        </w:rPr>
        <w:t>. Whenever the Company is required to issue a new Debenture pursuant to the terms of this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Debenture, such new Debenture (i) shall be of like tenor with this Debenture, (ii) shall represent, as indicated on the face of such new Debenture, the Principal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outstanding (or in the case of a new Debenture being issued pursuant to Section (5)(a) or Section (5)(c), the Principal designated by the Holder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when added to the Principal represented by the other new Debentures issued in connection with such issuance, does not exceed the Principal remaining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under this Debenture immediately prior to such issuance of new Debentures), (iii) shall have an issuance date, as indicated on the face of such new</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Debenture, which is the same as the Issuance Date of this Debenture, (iv) shall have the same rights and conditions as this Debenture, and (v) shall represent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unpaid Interest from the Issuance Date.</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1272"/>
        <w:spacing w:after="0" w:line="247"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notices, consents, waivers or other communications required or permitted to be given under the terms hereof must be in writing by letter and email and will be deemed to have been delivered: upon the later of (A) either (i) receipt, when delivered personally or (ii) one (1) Business Day after deposit with an express courier service, in each case, properly addressed to the party to receive the same and (B) receipt, when sent by electronic mail. The addresses and e-mail addresses for such communications shall be:</w:t>
      </w:r>
    </w:p>
    <w:p>
      <w:pPr>
        <w:sectPr>
          <w:pgSz w:w="11900" w:h="16838" w:orient="portrait"/>
          <w:cols w:equalWidth="0" w:num="1">
            <w:col w:w="11240"/>
          </w:cols>
          <w:pgMar w:left="320" w:top="572"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If to the Company, to: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Holder: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Sono Group N.V.</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Waldmeisterstraße 93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80935 Munich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Kevin McGurn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 II PN,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Yorkville Advisors Global, LLC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 Springfield Avenue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Mountainside, NJ 07092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Mark Angelo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17" w:lineRule="exact"/>
        <w:rPr>
          <w:sz w:val="20"/>
          <w:szCs w:val="20"/>
          <w:color w:val="auto"/>
        </w:rPr>
      </w:pPr>
    </w:p>
    <w:p>
      <w:pPr>
        <w:sectPr>
          <w:pgSz w:w="11900" w:h="16838" w:orient="portrait"/>
          <w:cols w:equalWidth="0" w:num="2">
            <w:col w:w="3320" w:space="720"/>
            <w:col w:w="7200"/>
          </w:cols>
          <w:pgMar w:left="320" w:top="572" w:right="339" w:bottom="1440" w:gutter="0" w:footer="0" w:header="0"/>
          <w:type w:val="continuous"/>
        </w:sectPr>
      </w:pPr>
    </w:p>
    <w:p>
      <w:pPr>
        <w:spacing w:after="0" w:line="247" w:lineRule="auto"/>
        <w:rPr>
          <w:sz w:val="20"/>
          <w:szCs w:val="20"/>
          <w:color w:val="auto"/>
        </w:rPr>
      </w:pPr>
      <w:r>
        <w:rPr>
          <w:rFonts w:ascii="Times New Roman" w:cs="Times New Roman" w:eastAsia="Times New Roman" w:hAnsi="Times New Roman"/>
          <w:sz w:val="18"/>
          <w:szCs w:val="18"/>
          <w:color w:val="auto"/>
        </w:rPr>
        <w:t>or at such other address and/or email and/or to the attention of such other person as the recipient party has specified by written notice given to each other party three (3)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receipt by email or receipt from a nationally recognized overnight delivery service in accordance with clause (i), (ii) or (iii) above, respectively.   </w:t>
      </w:r>
    </w:p>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(7)           Except as expressly provided herein, no provision of this Debenture shall alter or impair the obligations of the Company, which are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absolute and unconditional, to pay the Principal of, interest and other charges (if any) on, this Debenture at the time, place, and rate, and in the coin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currency, herein prescribed. This Debenture is a direct obligation of the Company. As long as this Debenture is outstanding, the Company shall not and shall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its Subsidiaries not to, without the consent of the Holder, (i) amend its articles of association so as to materially and adversely affect any rights of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(ii) repay, repurchase or offer to repay, repurchase or otherwise acquire Ordinary Shares or other equity securities; or (iii) enter into any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any of the foregoing.</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221615</wp:posOffset>
            </wp:positionV>
            <wp:extent cx="71348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type w:val="continuous"/>
        </w:sectPr>
      </w:pPr>
    </w:p>
    <w:bookmarkStart w:id="44" w:name="page45"/>
    <w:bookmarkEnd w:id="44"/>
    <w:p>
      <w:pPr>
        <w:jc w:val="both"/>
        <w:ind w:firstLine="1272"/>
        <w:spacing w:after="0" w:line="257" w:lineRule="auto"/>
        <w:rPr>
          <w:sz w:val="20"/>
          <w:szCs w:val="20"/>
          <w:color w:val="auto"/>
        </w:rPr>
      </w:pPr>
      <w:r>
        <w:rPr>
          <w:rFonts w:ascii="Times New Roman" w:cs="Times New Roman" w:eastAsia="Times New Roman" w:hAnsi="Times New Roman"/>
          <w:sz w:val="18"/>
          <w:szCs w:val="18"/>
          <w:color w:val="auto"/>
        </w:rPr>
        <w:t>(8)           This Debenture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Ordinary Shares in accordance with the terms hereof.  </w:t>
      </w:r>
    </w:p>
    <w:p>
      <w:pPr>
        <w:spacing w:after="0" w:line="202" w:lineRule="exact"/>
        <w:rPr>
          <w:sz w:val="20"/>
          <w:szCs w:val="20"/>
          <w:color w:val="auto"/>
        </w:rPr>
      </w:pPr>
    </w:p>
    <w:p>
      <w:pPr>
        <w:jc w:val="both"/>
        <w:ind w:firstLine="1272"/>
        <w:spacing w:after="0" w:line="248" w:lineRule="auto"/>
        <w:rPr>
          <w:sz w:val="20"/>
          <w:szCs w:val="20"/>
          <w:color w:val="auto"/>
        </w:rPr>
      </w:pPr>
      <w:r>
        <w:rPr>
          <w:rFonts w:ascii="Times New Roman" w:cs="Times New Roman" w:eastAsia="Times New Roman" w:hAnsi="Times New Roman"/>
          <w:sz w:val="18"/>
          <w:szCs w:val="18"/>
          <w:color w:val="auto"/>
        </w:rPr>
        <w:t>(9)           After the Issuance Date, without the Holder’s consent, the Company will not and will not permit any of its Subsidiaries to, directly or indirectly, enter into, create, incur, assume or suffer to exist any indebtedness or any security interests or liens of any kind, on or with respect to any of its property or assets now owned or hereafter acquired or any interest therein or any income or profits therefrom.</w:t>
      </w:r>
    </w:p>
    <w:p>
      <w:pPr>
        <w:spacing w:after="0" w:line="187" w:lineRule="exact"/>
        <w:rPr>
          <w:sz w:val="20"/>
          <w:szCs w:val="20"/>
          <w:color w:val="auto"/>
        </w:rPr>
      </w:pPr>
    </w:p>
    <w:p>
      <w:pPr>
        <w:jc w:val="both"/>
        <w:ind w:firstLine="1278"/>
        <w:spacing w:after="0" w:line="248" w:lineRule="auto"/>
        <w:tabs>
          <w:tab w:leader="none" w:pos="16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VENUE</w:t>
      </w:r>
      <w:r>
        <w:rPr>
          <w:rFonts w:ascii="Times New Roman" w:cs="Times New Roman" w:eastAsia="Times New Roman" w:hAnsi="Times New Roman"/>
          <w:sz w:val="18"/>
          <w:szCs w:val="18"/>
          <w:color w:val="auto"/>
        </w:rPr>
        <w:t>. This Debenture shall be governed by and construed in accordance with the laws of the State of New York, without giving effect to conflicts of laws thereof. Each of the parties consents to the jurisdiction of the Supreme Court of the State of New York located in the City of New York, Borough of Manhattan, and the U.S. District Court for the Southern District of New York in connection with any dispute arising under this Debenture and hereby waives, to the maximum extent permitted by law, any objection, including any objection based on forum non conveniens to the bringing of any such proceeding in such jurisdictions. THE PARTIES HEREBY KNOWINGLY, VOLUNTARILY AND INTENTIONALLY WAIVE THE RIGHT ANY OF THEM MAY HAVE TO A TRIAL BY JURY IN RESPECT OF ANY LITIGATION BASED HEREON OR ARISING OUT OF, UNDER OR IN CONNECTION WITH THIS AGREEMENT OR ANY TRANSACTION DOCUMENT OR ANY COURSE OF CONDUCT, COURSE OF DEALING, STATEMENTS (WHETHER VERBAL OR WRITTEN) OR ACTIONS OF ANY PARTY. THIS PROVISION IS A MATERIAL INDUCEMENT FOR THE PARTIES’ ACCEPTANCE OF THIS AGREEMENT.</w:t>
      </w:r>
    </w:p>
    <w:p>
      <w:pPr>
        <w:spacing w:after="0" w:line="2"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5" w:lineRule="exact"/>
        <w:rPr>
          <w:rFonts w:ascii="Times New Roman" w:cs="Times New Roman" w:eastAsia="Times New Roman" w:hAnsi="Times New Roman"/>
          <w:sz w:val="18"/>
          <w:szCs w:val="18"/>
          <w:color w:val="auto"/>
        </w:rPr>
      </w:pPr>
    </w:p>
    <w:p>
      <w:pPr>
        <w:jc w:val="both"/>
        <w:ind w:firstLine="1272"/>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If the Company or any Guarantor fails to materially comply with the terms of this Debenture and/or any other Transaction Documents, then, to the extent reasonably incurred and documented, the Company shall reimburse the Holder for all fees, costs and expenses, including, without limitation, attorneys’ fees and expenses incurred by the Holder in any action in connection with this Debenture and/or any other Transaction Document, including, without limitation, 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spacing w:after="0" w:line="4"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5" w:lineRule="exact"/>
        <w:rPr>
          <w:rFonts w:ascii="Times New Roman" w:cs="Times New Roman" w:eastAsia="Times New Roman" w:hAnsi="Times New Roman"/>
          <w:sz w:val="18"/>
          <w:szCs w:val="18"/>
          <w:color w:val="auto"/>
        </w:rPr>
      </w:pPr>
    </w:p>
    <w:p>
      <w:pPr>
        <w:jc w:val="both"/>
        <w:ind w:firstLine="1272"/>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Any waiver by the Holder of a breach of any provision of this Debenture shall not operate as or be construed to be a waiver of any other breach of such provision or of any breach of any other provision of this Debenture. The failure of the Holder to insist upon strict adherence to any term of this Debenture on one or more occasions shall not be considered a waiver or deprive that party of the right thereafter to insist upon strict adherence to that term or any other term of this Debenture. Any waiver must be in writing.</w:t>
      </w:r>
    </w:p>
    <w:p>
      <w:pPr>
        <w:spacing w:after="0" w:line="2"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5" w:lineRule="exact"/>
        <w:rPr>
          <w:rFonts w:ascii="Times New Roman" w:cs="Times New Roman" w:eastAsia="Times New Roman" w:hAnsi="Times New Roman"/>
          <w:sz w:val="18"/>
          <w:szCs w:val="18"/>
          <w:color w:val="auto"/>
        </w:rPr>
      </w:pPr>
    </w:p>
    <w:p>
      <w:pPr>
        <w:jc w:val="both"/>
        <w:ind w:firstLine="1272"/>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(13)         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Debenture as contemplated herein, wherever enacted, now or at any time hereafter in force, or which may affect the covenants or the performance of this indenture, and the Company (to the extent it may lawfully do so) hereby expressly waives all benefits or advantage of any such law, and covenants that it will not, by resort to any such law, hinder, delay or impeded the execution of any power herein granted to the Holder, but will suffer and permit the execution of every such as though no such law has been enacted.</w:t>
      </w:r>
    </w:p>
    <w:p>
      <w:pPr>
        <w:spacing w:after="0" w:line="2"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5" w:lineRule="exact"/>
        <w:rPr>
          <w:rFonts w:ascii="Times New Roman" w:cs="Times New Roman" w:eastAsia="Times New Roman" w:hAnsi="Times New Roman"/>
          <w:sz w:val="18"/>
          <w:szCs w:val="18"/>
          <w:color w:val="auto"/>
        </w:rPr>
      </w:pPr>
    </w:p>
    <w:p>
      <w:pPr>
        <w:ind w:firstLine="1272"/>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Whenever any payment or other obligation hereunder shall be due on a day other than a Business Day, such payment shall be made on the next succeeding Business Day.</w:t>
      </w:r>
    </w:p>
    <w:p>
      <w:pPr>
        <w:spacing w:after="0" w:line="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221615</wp:posOffset>
            </wp:positionV>
            <wp:extent cx="713486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5" w:name="page46"/>
    <w:bookmarkEnd w:id="45"/>
    <w:p>
      <w:pPr>
        <w:jc w:val="center"/>
        <w:ind w:right="6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xml:space="preserve"> For purposes of this Debenture, the following terms shall have the following meanings:</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2460" w:hanging="546"/>
        <w:spacing w:after="0"/>
        <w:tabs>
          <w:tab w:leader="none" w:pos="2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means Bloomberg Financial Markets.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firstLine="1914"/>
        <w:spacing w:after="0" w:line="245" w:lineRule="auto"/>
        <w:tabs>
          <w:tab w:leader="none" w:pos="25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and any day which shall be a federal legal holiday in the United States or a day on which banking institutions are authorized or required by law or other government action to close.</w:t>
      </w:r>
    </w:p>
    <w:p>
      <w:pPr>
        <w:spacing w:after="0" w:line="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firstLine="1908"/>
        <w:spacing w:after="0" w:line="24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Change of Control Transaction</w:t>
      </w:r>
      <w:r>
        <w:rPr>
          <w:rFonts w:ascii="Times New Roman" w:cs="Times New Roman" w:eastAsia="Times New Roman" w:hAnsi="Times New Roman"/>
          <w:sz w:val="18"/>
          <w:szCs w:val="18"/>
          <w:color w:val="auto"/>
        </w:rPr>
        <w:t>” means the occurrence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a replacement at one time or over time of more than one-half of the members of the management board or supervisory board of the Company (other than as due to the death or disability of a member of the management board or supervisory board) which is not approved by a majority of those individuals who are members of the management board or supervisory board on the date hereof (or by those individuals who are serving as members of the board of directors on any date whose nomination to the management board or supervisory board was approved by a majority of the members of the management board or supervisory board who are members on the date hereof), (c) the merger, consolidation or sale of fifty percent (50%) or more of the assets of the Company or any Subsidiary of the Company in one or a series of related transactions with or into another entity, or (d) the execution by the Company of an agreement to which the Company is a party or by which it is bound, providing for any of the events set forth above in (a), (b) or (c). No transfer to a wholly-owned Subsidiary shall be deemed a Change of Control Transaction under this provision.  </w:t>
      </w:r>
    </w:p>
    <w:p>
      <w:pPr>
        <w:spacing w:after="0" w:line="210" w:lineRule="exact"/>
        <w:rPr>
          <w:sz w:val="20"/>
          <w:szCs w:val="20"/>
          <w:color w:val="auto"/>
        </w:rPr>
      </w:pPr>
    </w:p>
    <w:p>
      <w:pPr>
        <w:ind w:firstLine="1908"/>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price per share in the last reported trade of the Ordinary Shares on a Primary Market or on the exchange or over-the-counter market on which the Ordinary Shares is then listed as quoted by Bloomberg.  </w:t>
      </w:r>
    </w:p>
    <w:p>
      <w:pPr>
        <w:spacing w:after="0" w:line="20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firstLine="1908"/>
        <w:spacing w:after="0" w:line="25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Floor Price</w:t>
      </w:r>
      <w:r>
        <w:rPr>
          <w:rFonts w:ascii="Times New Roman" w:cs="Times New Roman" w:eastAsia="Times New Roman" w:hAnsi="Times New Roman"/>
          <w:sz w:val="18"/>
          <w:szCs w:val="18"/>
          <w:color w:val="auto"/>
        </w:rPr>
        <w:t>” solely with respect to the Variable Conversion Price, shall mean a price per share equal to 20% of the Closing Price on the Trading Day immediately prior to the Issuance Date of this Debenture.   </w:t>
      </w:r>
    </w:p>
    <w:p>
      <w:pPr>
        <w:spacing w:after="0" w:line="203" w:lineRule="exact"/>
        <w:rPr>
          <w:sz w:val="20"/>
          <w:szCs w:val="20"/>
          <w:color w:val="auto"/>
        </w:rPr>
      </w:pPr>
    </w:p>
    <w:p>
      <w:pPr>
        <w:jc w:val="both"/>
        <w:ind w:firstLine="1908"/>
        <w:spacing w:after="0" w:line="264" w:lineRule="auto"/>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xml:space="preserve">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Ordinary Shares are permitted to tender or exchange their shares for other securities, cash or property, or (4) the Company effects any reclassification of the Ordinary Shares or any compulsory share exchange pursuant to which the Ordinary Shares is effectively converted into or exchanged for other securities, cash or property.</w:t>
      </w:r>
    </w:p>
    <w:p>
      <w:pPr>
        <w:spacing w:after="0" w:line="174" w:lineRule="exact"/>
        <w:rPr>
          <w:sz w:val="20"/>
          <w:szCs w:val="20"/>
          <w:color w:val="auto"/>
        </w:rPr>
      </w:pPr>
    </w:p>
    <w:p>
      <w:pPr>
        <w:ind w:left="2480" w:hanging="566"/>
        <w:spacing w:after="0"/>
        <w:tabs>
          <w:tab w:leader="none" w:pos="2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Sono Group N.V. Florida LLC.</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2520" w:hanging="606"/>
        <w:spacing w:after="0"/>
        <w:tabs>
          <w:tab w:leader="none" w:pos="2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98" w:lineRule="exact"/>
        <w:rPr>
          <w:sz w:val="20"/>
          <w:szCs w:val="20"/>
          <w:color w:val="auto"/>
        </w:rPr>
      </w:pPr>
    </w:p>
    <w:p>
      <w:pPr>
        <w:ind w:firstLine="1908"/>
        <w:spacing w:after="0" w:line="248"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of the Company’s and each Guarantor’s now existing and hereafter created or arising obligations, indebtedness and liabilities of any kind (whether primary or secondary, conditional or unconditional, contingent or noncontingent, joint or several) owed to the Holder, whether existing, created, incurred or arising in the Company’s or such Guarantor’s capacity as a borrower, guarantor, indemnitor, customer, purchaser, lessee, licensee, applicant, counterparty, debtor or other obligor, including (a) any loan amount, principal, interest (including interest accruing during the pendency of any bankruptcy, insolvency, receivership or other similar proceeding, regardless of whether allowed or allowable in such proceeding), fee, charge, indemnification obligation, reimbursement obligation, royalty, premium, cost, expense, price, rent or other amount owed by the Company or such Guarantor to the Holder at any time, including future advances, protective advances and other financial accommodations, (b) any obligations, indebtedness or liabilities of the Company and the Guarantors to the Holder under any Transaction Document at any time, and (c) any of the foregoing that may have been, or that may be, acquired by the Holder from any third party, the Company or any Guarantor at any time.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218440</wp:posOffset>
            </wp:positionV>
            <wp:extent cx="713486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6" w:name="page47"/>
    <w:bookmarkEnd w:id="46"/>
    <w:p>
      <w:pPr>
        <w:ind w:firstLine="1908"/>
        <w:spacing w:after="0" w:line="274"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Ordinary Shares, nominal value €0.01, of the Company and shares of any other class into which such shares may hereafter be changed or reclassified.</w:t>
      </w:r>
    </w:p>
    <w:p>
      <w:pPr>
        <w:spacing w:after="0" w:line="163" w:lineRule="exact"/>
        <w:rPr>
          <w:sz w:val="20"/>
          <w:szCs w:val="20"/>
          <w:color w:val="auto"/>
        </w:rPr>
      </w:pPr>
    </w:p>
    <w:p>
      <w:pPr>
        <w:ind w:firstLine="1914"/>
        <w:spacing w:after="0" w:line="274" w:lineRule="auto"/>
        <w:tabs>
          <w:tab w:leader="none" w:pos="261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Debentures</w:t>
      </w:r>
      <w:r>
        <w:rPr>
          <w:rFonts w:ascii="Times New Roman" w:cs="Times New Roman" w:eastAsia="Times New Roman" w:hAnsi="Times New Roman"/>
          <w:sz w:val="18"/>
          <w:szCs w:val="18"/>
          <w:color w:val="auto"/>
        </w:rPr>
        <w:t>” means any other convertible debentures, promissory notes, or other forms of indebtedness issued by the Holder to the Company after the date hereof.</w:t>
      </w:r>
    </w:p>
    <w:p>
      <w:pPr>
        <w:spacing w:after="0" w:line="163" w:lineRule="exact"/>
        <w:rPr>
          <w:sz w:val="20"/>
          <w:szCs w:val="20"/>
          <w:color w:val="auto"/>
        </w:rPr>
      </w:pPr>
    </w:p>
    <w:p>
      <w:pPr>
        <w:ind w:firstLine="1908"/>
        <w:spacing w:after="0" w:line="274"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corporation, an association, a partnership, organization, a business, an individual, a government or political subdivision thereof or a governmental agency.</w:t>
      </w:r>
    </w:p>
    <w:p>
      <w:pPr>
        <w:spacing w:after="0" w:line="163" w:lineRule="exact"/>
        <w:rPr>
          <w:sz w:val="20"/>
          <w:szCs w:val="20"/>
          <w:color w:val="auto"/>
        </w:rPr>
      </w:pPr>
    </w:p>
    <w:p>
      <w:pPr>
        <w:ind w:left="2520" w:hanging="606"/>
        <w:spacing w:after="0"/>
        <w:tabs>
          <w:tab w:leader="none" w:pos="2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firstLine="1908"/>
        <w:spacing w:after="0" w:line="251"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Primary Market</w:t>
      </w:r>
      <w:r>
        <w:rPr>
          <w:rFonts w:ascii="Times New Roman" w:cs="Times New Roman" w:eastAsia="Times New Roman" w:hAnsi="Times New Roman"/>
          <w:sz w:val="18"/>
          <w:szCs w:val="18"/>
          <w:color w:val="auto"/>
        </w:rPr>
        <w:t>” means any of the Nasdaq Global Market, the Nasdaq Global Select Market, the Nasdaq Capital Market, The New York Stock Exchange, and any successor to any of the foregoing markets or exchanges.  </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Redemption Premium</w:t>
      </w:r>
      <w:r>
        <w:rPr>
          <w:rFonts w:ascii="Times New Roman" w:cs="Times New Roman" w:eastAsia="Times New Roman" w:hAnsi="Times New Roman"/>
          <w:sz w:val="18"/>
          <w:szCs w:val="18"/>
          <w:color w:val="auto"/>
        </w:rPr>
        <w:t>” means four percent (4%) of the Principal amount being redeemed or paid.</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98" w:lineRule="exact"/>
        <w:rPr>
          <w:sz w:val="20"/>
          <w:szCs w:val="20"/>
          <w:color w:val="auto"/>
        </w:rPr>
      </w:pPr>
    </w:p>
    <w:p>
      <w:pPr>
        <w:ind w:left="2480" w:hanging="566"/>
        <w:spacing w:after="0"/>
        <w:tabs>
          <w:tab w:leader="none" w:pos="2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7" w:lineRule="exact"/>
        <w:rPr>
          <w:rFonts w:ascii="Times New Roman" w:cs="Times New Roman" w:eastAsia="Times New Roman" w:hAnsi="Times New Roman"/>
          <w:sz w:val="18"/>
          <w:szCs w:val="18"/>
          <w:color w:val="auto"/>
        </w:rPr>
      </w:pPr>
    </w:p>
    <w:p>
      <w:pPr>
        <w:ind w:left="2500" w:hanging="586"/>
        <w:spacing w:after="0"/>
        <w:tabs>
          <w:tab w:leader="none" w:pos="2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firstLine="1908"/>
        <w:spacing w:after="0" w:line="247"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  </w:t>
      </w:r>
    </w:p>
    <w:p>
      <w:pPr>
        <w:spacing w:after="0" w:line="208" w:lineRule="exact"/>
        <w:rPr>
          <w:sz w:val="20"/>
          <w:szCs w:val="20"/>
          <w:color w:val="auto"/>
        </w:rPr>
      </w:pPr>
    </w:p>
    <w:p>
      <w:pPr>
        <w:ind w:firstLine="1908"/>
        <w:spacing w:after="0" w:line="245"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Ordinary Shares are quoted or traded on a Primary Market on which the Ordinary Shares are then quoted or listed; provided, that in the event that the Ordinary Shares are not listed or quoted, then Trading Day shall mean a Business Day.  </w:t>
      </w:r>
    </w:p>
    <w:p>
      <w:pPr>
        <w:spacing w:after="0" w:line="2" w:lineRule="exact"/>
        <w:rPr>
          <w:sz w:val="20"/>
          <w:szCs w:val="20"/>
          <w:color w:val="auto"/>
        </w:rPr>
      </w:pPr>
    </w:p>
    <w:p>
      <w:pPr>
        <w:ind w:firstLine="1908"/>
        <w:spacing w:after="0" w:line="251"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Transaction Document</w:t>
      </w:r>
      <w:r>
        <w:rPr>
          <w:rFonts w:ascii="Times New Roman" w:cs="Times New Roman" w:eastAsia="Times New Roman" w:hAnsi="Times New Roman"/>
          <w:sz w:val="18"/>
          <w:szCs w:val="18"/>
          <w:color w:val="auto"/>
        </w:rPr>
        <w:t>” means, each of this Debenture, any Other Debentures, and any and all documents, agreements, instruments or other items executed or delivered in connection with any of the foregoing.   </w:t>
      </w:r>
    </w:p>
    <w:p>
      <w:pPr>
        <w:spacing w:after="0" w:line="20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Underlying Shares</w:t>
      </w:r>
      <w:r>
        <w:rPr>
          <w:rFonts w:ascii="Times New Roman" w:cs="Times New Roman" w:eastAsia="Times New Roman" w:hAnsi="Times New Roman"/>
          <w:sz w:val="18"/>
          <w:szCs w:val="18"/>
          <w:color w:val="auto"/>
        </w:rPr>
        <w:t>” means the Ordinary Shares issuable upon conversion of this Debenture or as payment of interest 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terms hereof.</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firstLine="1908"/>
        <w:spacing w:after="0" w:line="251"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security as of any date, the daily dollar volume-weighted average price for such security on the Primary Market during regular trading hours as reported by Bloomberg through its “Historical Prices - Px Table with Average Daily Volume” functions.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347345</wp:posOffset>
            </wp:positionV>
            <wp:extent cx="71348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7" w:name="page48"/>
    <w:bookmarkEnd w:id="47"/>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[Signature Page Follows]</w:t>
      </w: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2395855</wp:posOffset>
            </wp:positionV>
            <wp:extent cx="71348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48" w:name="page49"/>
    <w:bookmarkEnd w:id="48"/>
    <w:p>
      <w:pPr>
        <w:jc w:val="both"/>
        <w:ind w:firstLine="636"/>
        <w:spacing w:after="0" w:line="258"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Convertible Debenture to be duly executed by a duly authorized officer as of the date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above.</w:t>
      </w:r>
    </w:p>
    <w:tbl>
      <w:tblPr>
        <w:tblLayout w:type="fixed"/>
        <w:tblInd w:w="0" w:type="dxa"/>
        <w:tblCellMar>
          <w:top w:w="0" w:type="dxa"/>
          <w:left w:w="0" w:type="dxa"/>
          <w:bottom w:w="0" w:type="dxa"/>
          <w:right w:w="0" w:type="dxa"/>
        </w:tblCellMar>
      </w:tblPr>
      <w:tr>
        <w:trPr>
          <w:trHeight w:val="193"/>
        </w:trPr>
        <w:tc>
          <w:tcPr>
            <w:tcW w:w="3940" w:type="dxa"/>
            <w:vAlign w:val="bottom"/>
          </w:tcPr>
          <w:p>
            <w:pPr>
              <w:ind w:left="60"/>
              <w:spacing w:after="0" w:line="193" w:lineRule="exact"/>
              <w:rPr>
                <w:sz w:val="20"/>
                <w:szCs w:val="20"/>
                <w:color w:val="auto"/>
              </w:rPr>
            </w:pPr>
            <w:r>
              <w:rPr>
                <w:rFonts w:ascii="Times New Roman" w:cs="Times New Roman" w:eastAsia="Times New Roman" w:hAnsi="Times New Roman"/>
                <w:sz w:val="18"/>
                <w:szCs w:val="18"/>
                <w:color w:val="auto"/>
              </w:rPr>
              <w:t> </w:t>
            </w:r>
          </w:p>
        </w:tc>
        <w:tc>
          <w:tcPr>
            <w:tcW w:w="730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30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SONO GROUP N.V.</w:t>
            </w:r>
          </w:p>
        </w:tc>
        <w:tc>
          <w:tcPr>
            <w:tcW w:w="0" w:type="dxa"/>
            <w:vAlign w:val="bottom"/>
          </w:tcPr>
          <w:p>
            <w:pPr>
              <w:spacing w:after="0"/>
              <w:rPr>
                <w:sz w:val="1"/>
                <w:szCs w:val="1"/>
                <w:color w:val="auto"/>
              </w:rPr>
            </w:pPr>
          </w:p>
        </w:tc>
      </w:tr>
      <w:tr>
        <w:trPr>
          <w:trHeight w:val="231"/>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300" w:type="dxa"/>
            <w:vAlign w:val="bottom"/>
            <w:gridSpan w:val="2"/>
            <w:vMerge w:val="restart"/>
          </w:tcPr>
          <w:p>
            <w:pPr>
              <w:ind w:left="1640"/>
              <w:spacing w:after="0"/>
              <w:rPr>
                <w:sz w:val="20"/>
                <w:szCs w:val="20"/>
                <w:color w:val="auto"/>
              </w:rPr>
            </w:pPr>
            <w:r>
              <w:rPr>
                <w:rFonts w:ascii="Times New Roman" w:cs="Times New Roman" w:eastAsia="Times New Roman" w:hAnsi="Times New Roman"/>
                <w:sz w:val="18"/>
                <w:szCs w:val="18"/>
                <w:color w:val="auto"/>
              </w:rPr>
              <w:t>By:   /s/ Kevin McGurn</w:t>
            </w:r>
          </w:p>
        </w:tc>
        <w:tc>
          <w:tcPr>
            <w:tcW w:w="0" w:type="dxa"/>
            <w:vAlign w:val="bottom"/>
          </w:tcPr>
          <w:p>
            <w:pPr>
              <w:spacing w:after="0"/>
              <w:rPr>
                <w:sz w:val="1"/>
                <w:szCs w:val="1"/>
                <w:color w:val="auto"/>
              </w:rPr>
            </w:pPr>
          </w:p>
        </w:tc>
      </w:tr>
      <w:tr>
        <w:trPr>
          <w:trHeight w:val="211"/>
        </w:trPr>
        <w:tc>
          <w:tcPr>
            <w:tcW w:w="3940" w:type="dxa"/>
            <w:vAlign w:val="bottom"/>
          </w:tcPr>
          <w:p>
            <w:pPr>
              <w:spacing w:after="0"/>
              <w:rPr>
                <w:sz w:val="18"/>
                <w:szCs w:val="18"/>
                <w:color w:val="auto"/>
              </w:rPr>
            </w:pPr>
          </w:p>
        </w:tc>
        <w:tc>
          <w:tcPr>
            <w:tcW w:w="7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 </w:t>
            </w:r>
          </w:p>
        </w:tc>
        <w:tc>
          <w:tcPr>
            <w:tcW w:w="2060" w:type="dxa"/>
            <w:vAlign w:val="bottom"/>
          </w:tcPr>
          <w:p>
            <w:pPr>
              <w:ind w:left="1680"/>
              <w:spacing w:after="0" w:line="187" w:lineRule="exact"/>
              <w:rPr>
                <w:sz w:val="20"/>
                <w:szCs w:val="20"/>
                <w:color w:val="auto"/>
              </w:rPr>
            </w:pPr>
            <w:r>
              <w:rPr>
                <w:rFonts w:ascii="Times New Roman" w:cs="Times New Roman" w:eastAsia="Times New Roman" w:hAnsi="Times New Roman"/>
                <w:sz w:val="18"/>
                <w:szCs w:val="18"/>
                <w:color w:val="auto"/>
                <w:w w:val="74"/>
              </w:rPr>
              <w:t>Name:</w:t>
            </w:r>
          </w:p>
        </w:tc>
        <w:tc>
          <w:tcPr>
            <w:tcW w:w="5240" w:type="dxa"/>
            <w:vAlign w:val="bottom"/>
            <w:tcBorders>
              <w:top w:val="single" w:sz="8" w:color="auto"/>
            </w:tcBorders>
          </w:tcPr>
          <w:p>
            <w:pPr>
              <w:ind w:left="140"/>
              <w:spacing w:after="0" w:line="187" w:lineRule="exact"/>
              <w:rPr>
                <w:sz w:val="20"/>
                <w:szCs w:val="20"/>
                <w:color w:val="auto"/>
              </w:rPr>
            </w:pPr>
            <w:r>
              <w:rPr>
                <w:rFonts w:ascii="Times New Roman" w:cs="Times New Roman" w:eastAsia="Times New Roman" w:hAnsi="Times New Roman"/>
                <w:sz w:val="18"/>
                <w:szCs w:val="18"/>
                <w:color w:val="auto"/>
              </w:rPr>
              <w:t>Kevin McGurn</w:t>
            </w:r>
          </w:p>
        </w:tc>
        <w:tc>
          <w:tcPr>
            <w:tcW w:w="0" w:type="dxa"/>
            <w:vAlign w:val="bottom"/>
          </w:tcPr>
          <w:p>
            <w:pPr>
              <w:spacing w:after="0"/>
              <w:rPr>
                <w:sz w:val="1"/>
                <w:szCs w:val="1"/>
                <w:color w:val="auto"/>
              </w:rPr>
            </w:pPr>
          </w:p>
        </w:tc>
      </w:tr>
      <w:tr>
        <w:trPr>
          <w:trHeight w:val="21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30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Title: CEO and Managing Director</w:t>
            </w:r>
          </w:p>
        </w:tc>
        <w:tc>
          <w:tcPr>
            <w:tcW w:w="0" w:type="dxa"/>
            <w:vAlign w:val="bottom"/>
          </w:tcPr>
          <w:p>
            <w:pPr>
              <w:spacing w:after="0"/>
              <w:rPr>
                <w:sz w:val="1"/>
                <w:szCs w:val="1"/>
                <w:color w:val="auto"/>
              </w:rPr>
            </w:pPr>
          </w:p>
        </w:tc>
      </w:tr>
      <w:tr>
        <w:trPr>
          <w:trHeight w:val="231"/>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GUARANTY OF PAYMENT</w:t>
            </w:r>
          </w:p>
        </w:tc>
        <w:tc>
          <w:tcPr>
            <w:tcW w:w="20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For good and valuable consideration, the receipt and sufficiency of which are hereby acknowledged, </w:t>
      </w:r>
      <w:r>
        <w:rPr>
          <w:rFonts w:ascii="Times New Roman" w:cs="Times New Roman" w:eastAsia="Times New Roman" w:hAnsi="Times New Roman"/>
          <w:sz w:val="18"/>
          <w:szCs w:val="18"/>
          <w:b w:val="1"/>
          <w:bCs w:val="1"/>
          <w:color w:val="auto"/>
        </w:rPr>
        <w:t>Sono Group N.V. Florida LLC</w:t>
      </w:r>
      <w:r>
        <w:rPr>
          <w:rFonts w:ascii="Times New Roman" w:cs="Times New Roman" w:eastAsia="Times New Roman" w:hAnsi="Times New Roman"/>
          <w:sz w:val="18"/>
          <w:szCs w:val="18"/>
          <w:color w:val="auto"/>
        </w:rPr>
        <w:t>, a Florida limited liability company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hereby absolutely, unconditionally and irrevocably guarantees to the Holder the full and prompt payment when due (whether at stated maturity, by acceleration, redemption, conversion settlement, or otherwise) of all Obligations of Sono Group N.V. under this Convertible Debenture (</w:t>
      </w:r>
      <w:r>
        <w:rPr>
          <w:rFonts w:ascii="Times New Roman" w:cs="Times New Roman" w:eastAsia="Times New Roman" w:hAnsi="Times New Roman"/>
          <w:sz w:val="18"/>
          <w:szCs w:val="18"/>
          <w:b w:val="1"/>
          <w:bCs w:val="1"/>
          <w:color w:val="auto"/>
        </w:rPr>
        <w:t>Debenture Number SEV-11, dated April 28, 2026)</w:t>
      </w:r>
      <w:r>
        <w:rPr>
          <w:rFonts w:ascii="Times New Roman" w:cs="Times New Roman" w:eastAsia="Times New Roman" w:hAnsi="Times New Roman"/>
          <w:sz w:val="18"/>
          <w:szCs w:val="18"/>
          <w:color w:val="auto"/>
        </w:rPr>
        <w:t xml:space="preserve"> (as amended, restated, supplemented or otherwise modified from time to time).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WITNESS WHEREOF, the Guarantor has executed this Guaranty as of </w:t>
      </w:r>
      <w:r>
        <w:rPr>
          <w:rFonts w:ascii="Times New Roman" w:cs="Times New Roman" w:eastAsia="Times New Roman" w:hAnsi="Times New Roman"/>
          <w:sz w:val="18"/>
          <w:szCs w:val="18"/>
          <w:b w:val="1"/>
          <w:bCs w:val="1"/>
          <w:color w:val="auto"/>
        </w:rPr>
        <w:t>April 28, 2026</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SONO GROUP N.V. FLORIDA LLC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Kevin McGurn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Kevin McGurn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490855</wp:posOffset>
            </wp:positionV>
            <wp:extent cx="713486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CONVERSION NOTICE</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Holder in order to Convert the Debenture)</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SONO GROUP N.V.</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Email:</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firstLine="636"/>
        <w:spacing w:after="0" w:line="251" w:lineRule="auto"/>
        <w:rPr>
          <w:sz w:val="20"/>
          <w:szCs w:val="20"/>
          <w:color w:val="auto"/>
        </w:rPr>
      </w:pPr>
      <w:r>
        <w:rPr>
          <w:rFonts w:ascii="Times New Roman" w:cs="Times New Roman" w:eastAsia="Times New Roman" w:hAnsi="Times New Roman"/>
          <w:sz w:val="18"/>
          <w:szCs w:val="18"/>
          <w:color w:val="auto"/>
        </w:rPr>
        <w:t xml:space="preserve">The undersigned hereby irrevocably elects to convert a portion of the outstanding and unpaid Conversion Amount of Debenture No. SEV-11 into Ordinary Shares of </w:t>
      </w: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according to the conditions stated therein, as of the Conversion Date written below.  </w:t>
      </w:r>
    </w:p>
    <w:p>
      <w:pPr>
        <w:spacing w:after="0" w:line="203" w:lineRule="exact"/>
        <w:rPr>
          <w:sz w:val="20"/>
          <w:szCs w:val="20"/>
          <w:color w:val="auto"/>
        </w:rPr>
      </w:pPr>
    </w:p>
    <w:p>
      <w:pPr>
        <w:spacing w:after="0"/>
        <w:tabs>
          <w:tab w:leader="none" w:pos="4700" w:val="left"/>
        </w:tabs>
        <w:rPr>
          <w:sz w:val="20"/>
          <w:szCs w:val="20"/>
          <w:color w:val="auto"/>
        </w:rPr>
      </w:pPr>
      <w:r>
        <w:rPr>
          <w:rFonts w:ascii="Times New Roman" w:cs="Times New Roman" w:eastAsia="Times New Roman" w:hAnsi="Times New Roman"/>
          <w:sz w:val="18"/>
          <w:szCs w:val="18"/>
          <w:b w:val="1"/>
          <w:bCs w:val="1"/>
          <w:color w:val="auto"/>
        </w:rPr>
        <w:t>Conversion Date:</w:t>
      </w:r>
      <w:r>
        <w:rPr>
          <w:sz w:val="20"/>
          <w:szCs w:val="20"/>
          <w:color w:val="auto"/>
        </w:rPr>
        <w:tab/>
      </w: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tabs>
          <w:tab w:leader="none" w:pos="4700" w:val="left"/>
        </w:tabs>
        <w:rPr>
          <w:sz w:val="20"/>
          <w:szCs w:val="20"/>
          <w:color w:val="auto"/>
        </w:rPr>
      </w:pPr>
      <w:r>
        <w:rPr>
          <w:rFonts w:ascii="Times New Roman" w:cs="Times New Roman" w:eastAsia="Times New Roman" w:hAnsi="Times New Roman"/>
          <w:sz w:val="18"/>
          <w:szCs w:val="18"/>
          <w:b w:val="1"/>
          <w:bCs w:val="1"/>
          <w:color w:val="auto"/>
        </w:rPr>
        <w:t>Principal Amount to be Converted:</w:t>
      </w:r>
      <w:r>
        <w:rPr>
          <w:sz w:val="20"/>
          <w:szCs w:val="20"/>
          <w:color w:val="auto"/>
        </w:rPr>
        <w:tab/>
      </w: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tabs>
          <w:tab w:leader="none" w:pos="4700" w:val="left"/>
        </w:tabs>
        <w:rPr>
          <w:sz w:val="20"/>
          <w:szCs w:val="20"/>
          <w:color w:val="auto"/>
        </w:rPr>
      </w:pPr>
      <w:r>
        <w:rPr>
          <w:rFonts w:ascii="Times New Roman" w:cs="Times New Roman" w:eastAsia="Times New Roman" w:hAnsi="Times New Roman"/>
          <w:sz w:val="18"/>
          <w:szCs w:val="18"/>
          <w:b w:val="1"/>
          <w:bCs w:val="1"/>
          <w:color w:val="auto"/>
        </w:rPr>
        <w:t>Accrued Interest to be Converted:</w:t>
      </w:r>
      <w:r>
        <w:rPr>
          <w:sz w:val="20"/>
          <w:szCs w:val="20"/>
          <w:color w:val="auto"/>
        </w:rPr>
        <w:tab/>
      </w: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tabs>
          <w:tab w:leader="none" w:pos="4700" w:val="left"/>
        </w:tabs>
        <w:rPr>
          <w:sz w:val="20"/>
          <w:szCs w:val="20"/>
          <w:color w:val="auto"/>
        </w:rPr>
      </w:pPr>
      <w:r>
        <w:rPr>
          <w:rFonts w:ascii="Times New Roman" w:cs="Times New Roman" w:eastAsia="Times New Roman" w:hAnsi="Times New Roman"/>
          <w:sz w:val="18"/>
          <w:szCs w:val="18"/>
          <w:b w:val="1"/>
          <w:bCs w:val="1"/>
          <w:color w:val="auto"/>
        </w:rPr>
        <w:t>Total Conversion Amount to be converted:</w:t>
      </w:r>
      <w:r>
        <w:rPr>
          <w:sz w:val="20"/>
          <w:szCs w:val="20"/>
          <w:color w:val="auto"/>
        </w:rPr>
        <w:tab/>
      </w: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tabs>
          <w:tab w:leader="none" w:pos="4700" w:val="left"/>
        </w:tabs>
        <w:rPr>
          <w:sz w:val="20"/>
          <w:szCs w:val="20"/>
          <w:color w:val="auto"/>
        </w:rPr>
      </w:pPr>
      <w:r>
        <w:rPr>
          <w:rFonts w:ascii="Times New Roman" w:cs="Times New Roman" w:eastAsia="Times New Roman" w:hAnsi="Times New Roman"/>
          <w:sz w:val="18"/>
          <w:szCs w:val="18"/>
          <w:b w:val="1"/>
          <w:bCs w:val="1"/>
          <w:color w:val="auto"/>
        </w:rPr>
        <w:t>Fixed Conversion Price:</w:t>
      </w:r>
      <w:r>
        <w:rPr>
          <w:sz w:val="20"/>
          <w:szCs w:val="20"/>
          <w:color w:val="auto"/>
        </w:rPr>
        <w:tab/>
      </w: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tabs>
          <w:tab w:leader="none" w:pos="4700" w:val="left"/>
        </w:tabs>
        <w:rPr>
          <w:sz w:val="20"/>
          <w:szCs w:val="20"/>
          <w:color w:val="auto"/>
        </w:rPr>
      </w:pPr>
      <w:r>
        <w:rPr>
          <w:rFonts w:ascii="Times New Roman" w:cs="Times New Roman" w:eastAsia="Times New Roman" w:hAnsi="Times New Roman"/>
          <w:sz w:val="18"/>
          <w:szCs w:val="18"/>
          <w:b w:val="1"/>
          <w:bCs w:val="1"/>
          <w:color w:val="auto"/>
        </w:rPr>
        <w:t>Variable Conversion Price:</w:t>
      </w:r>
      <w:r>
        <w:rPr>
          <w:sz w:val="20"/>
          <w:szCs w:val="20"/>
          <w:color w:val="auto"/>
        </w:rPr>
        <w:tab/>
      </w: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tabs>
          <w:tab w:leader="none" w:pos="4700" w:val="left"/>
        </w:tabs>
        <w:rPr>
          <w:sz w:val="20"/>
          <w:szCs w:val="20"/>
          <w:color w:val="auto"/>
        </w:rPr>
      </w:pPr>
      <w:r>
        <w:rPr>
          <w:rFonts w:ascii="Times New Roman" w:cs="Times New Roman" w:eastAsia="Times New Roman" w:hAnsi="Times New Roman"/>
          <w:sz w:val="18"/>
          <w:szCs w:val="18"/>
          <w:b w:val="1"/>
          <w:bCs w:val="1"/>
          <w:color w:val="auto"/>
        </w:rPr>
        <w:t>Applicable Conversion Price:</w:t>
      </w:r>
      <w:r>
        <w:rPr>
          <w:sz w:val="20"/>
          <w:szCs w:val="20"/>
          <w:color w:val="auto"/>
        </w:rPr>
        <w:tab/>
      </w: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tabs>
          <w:tab w:leader="none" w:pos="4700" w:val="left"/>
        </w:tabs>
        <w:rPr>
          <w:sz w:val="20"/>
          <w:szCs w:val="20"/>
          <w:color w:val="auto"/>
        </w:rPr>
      </w:pPr>
      <w:r>
        <w:rPr>
          <w:rFonts w:ascii="Times New Roman" w:cs="Times New Roman" w:eastAsia="Times New Roman" w:hAnsi="Times New Roman"/>
          <w:sz w:val="18"/>
          <w:szCs w:val="18"/>
          <w:b w:val="1"/>
          <w:bCs w:val="1"/>
          <w:color w:val="auto"/>
        </w:rPr>
        <w:t>Number of Ordinary Shares to be issued:</w:t>
      </w:r>
      <w:r>
        <w:rPr>
          <w:sz w:val="20"/>
          <w:szCs w:val="20"/>
          <w:color w:val="auto"/>
        </w:rPr>
        <w:tab/>
      </w: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issue the Ordinary Shares in the following name and deliver them to the following account:</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DTC Participant Code: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Number: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2540</wp:posOffset>
            </wp:positionV>
            <wp:extent cx="59988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59988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59988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59988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59988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5998845" cy="82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570"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13a-14 AND 15d-14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McGurn, certify that:</w:t>
      </w:r>
    </w:p>
    <w:p>
      <w:pPr>
        <w:spacing w:after="0" w:line="217" w:lineRule="exact"/>
        <w:rPr>
          <w:sz w:val="20"/>
          <w:szCs w:val="20"/>
          <w:color w:val="auto"/>
        </w:rPr>
      </w:pPr>
    </w:p>
    <w:p>
      <w:pPr>
        <w:ind w:left="340" w:hanging="314"/>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Sono Group N.V.;</w:t>
      </w:r>
    </w:p>
    <w:p>
      <w:pPr>
        <w:spacing w:after="0" w:line="217" w:lineRule="exact"/>
        <w:rPr>
          <w:rFonts w:ascii="Times New Roman" w:cs="Times New Roman" w:eastAsia="Times New Roman" w:hAnsi="Times New Roman"/>
          <w:sz w:val="18"/>
          <w:szCs w:val="18"/>
          <w:color w:val="auto"/>
        </w:rPr>
      </w:pPr>
    </w:p>
    <w:p>
      <w:pPr>
        <w:ind w:left="340" w:right="160" w:hanging="314"/>
        <w:spacing w:after="0" w:line="304" w:lineRule="auto"/>
        <w:tabs>
          <w:tab w:leader="none" w:pos="3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left="340" w:right="600" w:hanging="314"/>
        <w:spacing w:after="0" w:line="274"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left="340" w:right="100" w:hanging="314"/>
        <w:spacing w:after="0" w:line="259"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660" w:right="80" w:hanging="316"/>
        <w:spacing w:after="0" w:line="259"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660" w:right="60" w:hanging="316"/>
        <w:spacing w:after="0" w:line="259"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660" w:right="120" w:hanging="316"/>
        <w:spacing w:after="0" w:line="274"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left="660" w:right="140" w:hanging="316"/>
        <w:spacing w:after="0" w:line="259"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40" w:right="540" w:hanging="314"/>
        <w:spacing w:after="0" w:line="274"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660" w:right="40" w:hanging="316"/>
        <w:spacing w:after="0" w:line="274"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660" w:right="80" w:hanging="316"/>
        <w:spacing w:after="0" w:line="274"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Kevin McGurn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McGurn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60"/>
          </w:cols>
          <w:pgMar w:left="300" w:top="119"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13a-14 AND 15d-14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Scott Calhoun, certify that:</w:t>
      </w:r>
    </w:p>
    <w:p>
      <w:pPr>
        <w:spacing w:after="0" w:line="217" w:lineRule="exact"/>
        <w:rPr>
          <w:sz w:val="20"/>
          <w:szCs w:val="20"/>
          <w:color w:val="auto"/>
        </w:rPr>
      </w:pPr>
    </w:p>
    <w:p>
      <w:pPr>
        <w:ind w:left="340" w:hanging="314"/>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Sono Group N.V.;</w:t>
      </w:r>
    </w:p>
    <w:p>
      <w:pPr>
        <w:spacing w:after="0" w:line="217" w:lineRule="exact"/>
        <w:rPr>
          <w:rFonts w:ascii="Times New Roman" w:cs="Times New Roman" w:eastAsia="Times New Roman" w:hAnsi="Times New Roman"/>
          <w:sz w:val="18"/>
          <w:szCs w:val="18"/>
          <w:color w:val="auto"/>
        </w:rPr>
      </w:pPr>
    </w:p>
    <w:p>
      <w:pPr>
        <w:ind w:left="340" w:hanging="314"/>
        <w:spacing w:after="0" w:line="304" w:lineRule="auto"/>
        <w:tabs>
          <w:tab w:leader="none" w:pos="3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left="340" w:hanging="314"/>
        <w:spacing w:after="0" w:line="274"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340" w:hanging="314"/>
        <w:spacing w:after="0" w:line="259"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660" w:right="80" w:hanging="316"/>
        <w:spacing w:after="0" w:line="259"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660" w:right="60" w:hanging="316"/>
        <w:spacing w:after="0" w:line="259"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660" w:right="120" w:hanging="316"/>
        <w:spacing w:after="0" w:line="274"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left="660" w:right="140" w:hanging="316"/>
        <w:spacing w:after="0" w:line="259"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40" w:hanging="314"/>
        <w:spacing w:after="0" w:line="274"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660" w:right="40" w:hanging="316"/>
        <w:spacing w:after="0" w:line="274"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660" w:right="80" w:hanging="316"/>
        <w:spacing w:after="0" w:line="274"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Martin Scott Calhoun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Scott Calhoun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60"/>
          </w:cols>
          <w:pgMar w:left="300" w:top="119"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w:t>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on Form 10-Q of Sono Group N.V. (the “Company”) for the quarterly period ended March 31, 2026, as filed with the Securities and Exchange Commission on the date hereof (the “Report”), I, Kevin McGurn, certify, pursuant to 18 U.S.C. Section 1350, as adopted pursuant to Section 906 of the Sarbanes-Oxley Act of 2002, that, to my knowledge:</w:t>
      </w:r>
    </w:p>
    <w:p>
      <w:pPr>
        <w:spacing w:after="0" w:line="178" w:lineRule="exact"/>
        <w:rPr>
          <w:sz w:val="20"/>
          <w:szCs w:val="20"/>
          <w:color w:val="auto"/>
        </w:rPr>
      </w:pPr>
    </w:p>
    <w:p>
      <w:pPr>
        <w:ind w:left="660" w:hanging="316"/>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3" w:lineRule="exact"/>
        <w:rPr>
          <w:rFonts w:ascii="Times New Roman" w:cs="Times New Roman" w:eastAsia="Times New Roman" w:hAnsi="Times New Roman"/>
          <w:sz w:val="18"/>
          <w:szCs w:val="18"/>
          <w:color w:val="auto"/>
        </w:rPr>
      </w:pPr>
    </w:p>
    <w:p>
      <w:pPr>
        <w:ind w:right="400" w:firstLine="344"/>
        <w:spacing w:after="0" w:line="506"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19, 2026</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Kevin McGurn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14605</wp:posOffset>
            </wp:positionV>
            <wp:extent cx="35674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Kevin McGurn</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98"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Such certification will not be deemed to be incorporated by reference into any filing under the Securities Act of 1933, as amended, or the Securities Exchange Act of 1934, as amended, except to the extent that the Company specifically incorporates it by reference.</w:t>
      </w:r>
    </w:p>
    <w:p>
      <w:pPr>
        <w:sectPr>
          <w:pgSz w:w="11900" w:h="16838" w:orient="portrait"/>
          <w:cols w:equalWidth="0" w:num="1">
            <w:col w:w="11260"/>
          </w:cols>
          <w:pgMar w:left="300" w:top="119"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w:t>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on Form 10-Q of Sono Group N.V. (the “Company”) for the quarterly period ended March 31, 2026, as filed with the Securities and Exchange Commission on the date hereof (the “Report”), I, Martin Scott Calhoun, certify, pursuant to 18 U.S.C. Section 1350, as adopted pursuant to Section 906 of the Sarbanes-Oxley Act of 2002, that, to my knowledge:</w:t>
      </w:r>
    </w:p>
    <w:p>
      <w:pPr>
        <w:spacing w:after="0" w:line="178" w:lineRule="exact"/>
        <w:rPr>
          <w:sz w:val="20"/>
          <w:szCs w:val="20"/>
          <w:color w:val="auto"/>
        </w:rPr>
      </w:pPr>
    </w:p>
    <w:p>
      <w:pPr>
        <w:ind w:left="660" w:hanging="31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3" w:lineRule="exact"/>
        <w:rPr>
          <w:rFonts w:ascii="Times New Roman" w:cs="Times New Roman" w:eastAsia="Times New Roman" w:hAnsi="Times New Roman"/>
          <w:sz w:val="18"/>
          <w:szCs w:val="18"/>
          <w:color w:val="auto"/>
        </w:rPr>
      </w:pPr>
    </w:p>
    <w:p>
      <w:pPr>
        <w:ind w:right="400" w:firstLine="344"/>
        <w:spacing w:after="0" w:line="506" w:lineRule="auto"/>
        <w:tabs>
          <w:tab w:leader="none" w:pos="6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19, 2026</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Martin Scott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14605</wp:posOffset>
            </wp:positionV>
            <wp:extent cx="35674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Martin Scott Calhoun</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98"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Such certification will not be deemed to be incorporated by reference into any filing under the Securities Act of 1933, as amended, or the Securities Exchange Act of 1934, as amended, except to the extent that the Company specifically incorporates it by reference.</w:t>
      </w:r>
    </w:p>
    <w:sectPr>
      <w:pgSz w:w="11900" w:h="16838" w:orient="portrait"/>
      <w:cols w:equalWidth="0" w:num="1">
        <w:col w:w="11260"/>
      </w:cols>
      <w:pgMar w:left="30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lvl w:ilvl="1">
      <w:lvlJc w:val="left"/>
      <w:lvlText w:val="○"/>
      <w:numFmt w:val="bullet"/>
      <w:start w:val="1"/>
    </w:lvl>
  </w:abstractNum>
  <w:abstractNum w:abstractNumId="6">
    <w:nsid w:val="431BD7B7"/>
    <w:multiLevelType w:val="hybridMultilevel"/>
    <w:lvl w:ilvl="0">
      <w:lvlJc w:val="left"/>
      <w:lvlText w:val="●"/>
      <w:numFmt w:val="bullet"/>
      <w:start w:val="1"/>
    </w:lvl>
    <w:lvl w:ilvl="1">
      <w:lvlJc w:val="left"/>
      <w:lvlText w:val="○"/>
      <w:numFmt w:val="bullet"/>
      <w:start w:val="1"/>
    </w:lvl>
  </w:abstractNum>
  <w:abstractNum w:abstractNumId="7">
    <w:nsid w:val="3F2DBA31"/>
    <w:multiLevelType w:val="hybridMultilevel"/>
    <w:lvl w:ilvl="0">
      <w:lvlJc w:val="left"/>
      <w:lvlText w:val="●"/>
      <w:numFmt w:val="bullet"/>
      <w:start w:val="1"/>
    </w:lvl>
    <w:lvl w:ilvl="1">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lowerLetter"/>
      <w:start w:val="2"/>
    </w:lvl>
  </w:abstractNum>
  <w:abstractNum w:abstractNumId="13">
    <w:nsid w:val="333AB105"/>
    <w:multiLevelType w:val="hybridMultilevel"/>
    <w:lvl w:ilvl="0">
      <w:lvlJc w:val="left"/>
      <w:lvlText w:val="(%1)"/>
      <w:numFmt w:val="decimal"/>
      <w:start w:val="4"/>
    </w:lvl>
  </w:abstractNum>
  <w:abstractNum w:abstractNumId="14">
    <w:nsid w:val="721DA317"/>
    <w:multiLevelType w:val="hybridMultilevel"/>
    <w:lvl w:ilvl="0">
      <w:lvlJc w:val="left"/>
      <w:lvlText w:val="(%1)"/>
      <w:numFmt w:val="lowerRoman"/>
      <w:start w:val="11"/>
    </w:lvl>
  </w:abstractNum>
  <w:abstractNum w:abstractNumId="15">
    <w:nsid w:val="2443A858"/>
    <w:multiLevelType w:val="hybridMultilevel"/>
    <w:lvl w:ilvl="0">
      <w:lvlJc w:val="left"/>
      <w:lvlText w:val="(%1)"/>
      <w:numFmt w:val="lowerRoman"/>
      <w:start w:val="2"/>
    </w:lvl>
  </w:abstractNum>
  <w:abstractNum w:abstractNumId="16">
    <w:nsid w:val="2D1D5AE9"/>
    <w:multiLevelType w:val="hybridMultilevel"/>
    <w:lvl w:ilvl="0">
      <w:lvlJc w:val="left"/>
      <w:lvlText w:val="(%1)"/>
      <w:numFmt w:val="decimal"/>
      <w:start w:val="2"/>
    </w:lvl>
  </w:abstractNum>
  <w:abstractNum w:abstractNumId="17">
    <w:nsid w:val="6763845E"/>
    <w:multiLevelType w:val="hybridMultilevel"/>
    <w:lvl w:ilvl="0">
      <w:lvlJc w:val="left"/>
      <w:lvlText w:val="(%1)"/>
      <w:numFmt w:val="decimal"/>
      <w:start w:val="10"/>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2"/>
    </w:lvl>
  </w:abstractNum>
  <w:abstractNum w:abstractNumId="20">
    <w:nsid w:val="79838CB2"/>
    <w:multiLevelType w:val="hybridMultilevel"/>
    <w:lvl w:ilvl="0">
      <w:lvlJc w:val="left"/>
      <w:lvlText w:val="(%1)"/>
      <w:numFmt w:val="lowerRoman"/>
      <w:start w:val="1"/>
    </w:lvl>
  </w:abstractNum>
  <w:abstractNum w:abstractNumId="21">
    <w:nsid w:val="4353D0CD"/>
    <w:multiLevelType w:val="hybridMultilevel"/>
    <w:lvl w:ilvl="0">
      <w:lvlJc w:val="left"/>
      <w:lvlText w:val="(%1)"/>
      <w:numFmt w:val="lowerLetter"/>
      <w:start w:val="10"/>
    </w:lvl>
  </w:abstractNum>
  <w:abstractNum w:abstractNumId="22">
    <w:nsid w:val="B03E0C6"/>
    <w:multiLevelType w:val="hybridMultilevel"/>
    <w:lvl w:ilvl="0">
      <w:lvlJc w:val="left"/>
      <w:lvlText w:val="(%1)"/>
      <w:numFmt w:val="lowerLetter"/>
      <w:start w:val="13"/>
    </w:lvl>
  </w:abstractNum>
  <w:abstractNum w:abstractNumId="23">
    <w:nsid w:val="189A769B"/>
    <w:multiLevelType w:val="hybridMultilevel"/>
    <w:lvl w:ilvl="0">
      <w:lvlJc w:val="left"/>
      <w:lvlText w:val="(%1)"/>
      <w:numFmt w:val="lowerLetter"/>
      <w:start w:val="14"/>
    </w:lvl>
  </w:abstractNum>
  <w:abstractNum w:abstractNumId="24">
    <w:nsid w:val="54E49EB4"/>
    <w:multiLevelType w:val="hybridMultilevel"/>
    <w:lvl w:ilvl="0">
      <w:lvlJc w:val="left"/>
      <w:lvlText w:val="(%1)"/>
      <w:numFmt w:val="lowerLetter"/>
      <w:start w:val="18"/>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32" Type="http://schemas.openxmlformats.org/officeDocument/2006/relationships/hyperlink" Target="http://www.sec.gov/Archives/edgar/data/1840416/000117184325007436/ex_890171.htm" TargetMode="External"/><Relationship Id="rId33" Type="http://schemas.openxmlformats.org/officeDocument/2006/relationships/hyperlink" Target="http://www.sec.gov/Archives/edgar/data/1840416/000110465921135375/tm212911d11_ex3-2.htm" TargetMode="External"/><Relationship Id="rId34" Type="http://schemas.openxmlformats.org/officeDocument/2006/relationships/hyperlink" Target="http://www.sec.gov/Archives/edgar/data/1840416/000110465921135375/tm212911d11_ex3-3.htm" TargetMode="External"/><Relationship Id="rId35" Type="http://schemas.openxmlformats.org/officeDocument/2006/relationships/hyperlink" Target="http://www.sec.gov/Archives/edgar/data/1840416/000117184326000517/exh_101.htm" TargetMode="External"/><Relationship Id="rId36" Type="http://schemas.openxmlformats.org/officeDocument/2006/relationships/hyperlink" Target="http://www.sec.gov/Archives/edgar/data/1840416/000117184326001054/exh_101.htm" TargetMode="External"/><Relationship Id="rId37" Type="http://schemas.openxmlformats.org/officeDocument/2006/relationships/hyperlink" Target="http://www.sec.gov/Archives/edgar/data/1840416/000117184326001464/exh_101.htm" TargetMode="External"/><Relationship Id="rId38" Type="http://schemas.openxmlformats.org/officeDocument/2006/relationships/hyperlink" Target="http://www.sec.gov/Archives/edgar/data/1840416/000117184326001464/exh_41.htm" TargetMode="External"/><Relationship Id="rId39" Type="http://schemas.openxmlformats.org/officeDocument/2006/relationships/hyperlink" Target="http://www.sec.gov/Archives/edgar/data/1840416/000117184326001464/exh_102.htm" TargetMode="External"/><Relationship Id="rId40" Type="http://schemas.openxmlformats.org/officeDocument/2006/relationships/hyperlink" Target="http://www.sec.gov/Archives/edgar/data/1840416/000117184326001464/exh_103.htm" TargetMode="External"/><Relationship Id="rId41" Type="http://schemas.openxmlformats.org/officeDocument/2006/relationships/hyperlink" Target="http://www.sec.gov/Archives/edgar/data/1840416/000117184326001589/exh_101.htm" TargetMode="External"/><Relationship Id="rId42" Type="http://schemas.openxmlformats.org/officeDocument/2006/relationships/hyperlink" Target="http://www.sec.gov/Archives/edgar/data/1840416/000117184326001589/exh_102.htm" TargetMode="External"/><Relationship Id="rId43" Type="http://schemas.openxmlformats.org/officeDocument/2006/relationships/hyperlink" Target="http://www.sec.gov/Archives/edgar/data/1840416/000117184326001589/exh_103.htm" TargetMode="External"/><Relationship Id="rId44" Type="http://schemas.openxmlformats.org/officeDocument/2006/relationships/hyperlink" Target="http://www.sec.gov/Archives/edgar/data/1840416/000117184326003196/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2026-05-19T15:25:13Z</dcterms:created>
  <dcterms:modified xsi:type="dcterms:W3CDTF">2026-05-19T15:25:13Z</dcterms:modified>
</cp:coreProperties>
</file>